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1B69F" w14:textId="77777777" w:rsidR="003B1660" w:rsidRPr="00B70666" w:rsidRDefault="003B1660" w:rsidP="003B1660">
      <w:pPr>
        <w:pStyle w:val="Normal0"/>
        <w:rPr>
          <w:rFonts w:asciiTheme="minorHAnsi" w:hAnsiTheme="minorHAnsi" w:cstheme="minorHAnsi"/>
          <w:color w:val="FF0000"/>
          <w:sz w:val="22"/>
          <w:szCs w:val="22"/>
        </w:rPr>
      </w:pPr>
      <w:r w:rsidRPr="00B70666">
        <w:rPr>
          <w:rFonts w:asciiTheme="minorHAnsi" w:hAnsiTheme="minorHAnsi" w:cstheme="minorHAnsi"/>
          <w:color w:val="FF0000"/>
          <w:sz w:val="22"/>
          <w:szCs w:val="22"/>
        </w:rPr>
        <w:t>Insurance Company</w:t>
      </w:r>
    </w:p>
    <w:p w14:paraId="5227B186" w14:textId="77777777" w:rsidR="003B1660" w:rsidRPr="00B70666" w:rsidRDefault="003B1660" w:rsidP="003B1660">
      <w:pPr>
        <w:pStyle w:val="Normal0"/>
        <w:rPr>
          <w:rFonts w:asciiTheme="minorHAnsi" w:hAnsiTheme="minorHAnsi" w:cstheme="minorHAnsi"/>
          <w:color w:val="FF0000"/>
          <w:sz w:val="22"/>
          <w:szCs w:val="22"/>
        </w:rPr>
      </w:pPr>
    </w:p>
    <w:p w14:paraId="57D2519F" w14:textId="77777777" w:rsidR="003B1660" w:rsidRPr="00B70666" w:rsidRDefault="003B1660" w:rsidP="003B1660">
      <w:pPr>
        <w:pStyle w:val="Normal0"/>
        <w:rPr>
          <w:rFonts w:asciiTheme="minorHAnsi" w:hAnsiTheme="minorHAnsi" w:cstheme="minorHAnsi"/>
          <w:b/>
          <w:color w:val="FF0000"/>
          <w:sz w:val="22"/>
          <w:szCs w:val="22"/>
        </w:rPr>
      </w:pPr>
      <w:r w:rsidRPr="00B70666">
        <w:rPr>
          <w:rFonts w:asciiTheme="minorHAnsi" w:hAnsiTheme="minorHAnsi" w:cstheme="minorHAnsi"/>
          <w:b/>
          <w:color w:val="FF0000"/>
          <w:sz w:val="22"/>
          <w:szCs w:val="22"/>
        </w:rPr>
        <w:t>RE: PATIENT</w:t>
      </w:r>
    </w:p>
    <w:p w14:paraId="3A9228D6" w14:textId="77777777" w:rsidR="003B1660" w:rsidRPr="00B70666" w:rsidRDefault="003B1660" w:rsidP="003B1660">
      <w:pPr>
        <w:pStyle w:val="Normal0"/>
        <w:rPr>
          <w:rFonts w:asciiTheme="minorHAnsi" w:hAnsiTheme="minorHAnsi" w:cstheme="minorHAnsi"/>
          <w:b/>
          <w:color w:val="FF0000"/>
          <w:sz w:val="22"/>
          <w:szCs w:val="22"/>
        </w:rPr>
      </w:pPr>
      <w:r w:rsidRPr="00B70666">
        <w:rPr>
          <w:rFonts w:asciiTheme="minorHAnsi" w:hAnsiTheme="minorHAnsi" w:cstheme="minorHAnsi"/>
          <w:b/>
          <w:color w:val="FF0000"/>
          <w:sz w:val="22"/>
          <w:szCs w:val="22"/>
        </w:rPr>
        <w:t>DOB:</w:t>
      </w:r>
    </w:p>
    <w:p w14:paraId="14357F0C" w14:textId="77777777" w:rsidR="003B1660" w:rsidRPr="00B70666" w:rsidRDefault="003B1660" w:rsidP="003B1660">
      <w:pPr>
        <w:pStyle w:val="Normal0"/>
        <w:rPr>
          <w:rFonts w:asciiTheme="minorHAnsi" w:hAnsiTheme="minorHAnsi" w:cstheme="minorHAnsi"/>
          <w:b/>
          <w:color w:val="FF0000"/>
          <w:sz w:val="22"/>
          <w:szCs w:val="22"/>
        </w:rPr>
      </w:pPr>
      <w:r w:rsidRPr="00B70666">
        <w:rPr>
          <w:rFonts w:asciiTheme="minorHAnsi" w:hAnsiTheme="minorHAnsi" w:cstheme="minorHAnsi"/>
          <w:b/>
          <w:color w:val="FF0000"/>
          <w:sz w:val="22"/>
          <w:szCs w:val="22"/>
        </w:rPr>
        <w:t>ID#</w:t>
      </w:r>
    </w:p>
    <w:p w14:paraId="6357B903" w14:textId="4FA027CB" w:rsidR="003B1660" w:rsidRPr="00B70666" w:rsidRDefault="003B1660" w:rsidP="003B1660">
      <w:pPr>
        <w:pStyle w:val="Normal0"/>
        <w:rPr>
          <w:rFonts w:asciiTheme="minorHAnsi" w:hAnsiTheme="minorHAnsi" w:cstheme="minorHAnsi"/>
          <w:b/>
          <w:color w:val="FF0000"/>
          <w:sz w:val="22"/>
          <w:szCs w:val="22"/>
        </w:rPr>
      </w:pPr>
      <w:r w:rsidRPr="00B70666">
        <w:rPr>
          <w:rFonts w:asciiTheme="minorHAnsi" w:hAnsiTheme="minorHAnsi" w:cstheme="minorHAnsi"/>
          <w:b/>
          <w:color w:val="FF0000"/>
          <w:sz w:val="22"/>
          <w:szCs w:val="22"/>
        </w:rPr>
        <w:t>Pat Acct #</w:t>
      </w:r>
    </w:p>
    <w:p w14:paraId="4E23783A" w14:textId="30DD9337" w:rsidR="001F63BC" w:rsidRPr="00B70666" w:rsidRDefault="001F63BC" w:rsidP="003B1660">
      <w:pPr>
        <w:pStyle w:val="Normal0"/>
        <w:rPr>
          <w:rFonts w:asciiTheme="minorHAnsi" w:hAnsiTheme="minorHAnsi" w:cstheme="minorHAnsi"/>
          <w:b/>
          <w:color w:val="FF0000"/>
          <w:sz w:val="22"/>
          <w:szCs w:val="22"/>
        </w:rPr>
      </w:pPr>
    </w:p>
    <w:p w14:paraId="3F6562CC" w14:textId="7C7CB223" w:rsidR="001F63BC" w:rsidRPr="00B70666" w:rsidRDefault="001F63BC" w:rsidP="003B1660">
      <w:pPr>
        <w:pStyle w:val="Normal0"/>
        <w:rPr>
          <w:rFonts w:asciiTheme="minorHAnsi" w:hAnsiTheme="minorHAnsi" w:cstheme="minorHAnsi"/>
          <w:b/>
          <w:color w:val="FF0000"/>
          <w:sz w:val="22"/>
          <w:szCs w:val="22"/>
        </w:rPr>
      </w:pPr>
      <w:r w:rsidRPr="00B70666">
        <w:rPr>
          <w:rFonts w:asciiTheme="minorHAnsi" w:hAnsiTheme="minorHAnsi" w:cstheme="minorHAnsi"/>
          <w:b/>
          <w:color w:val="FF0000"/>
          <w:sz w:val="22"/>
          <w:szCs w:val="22"/>
        </w:rPr>
        <w:t>Date</w:t>
      </w:r>
    </w:p>
    <w:p w14:paraId="6DB65339" w14:textId="77777777" w:rsidR="001B4D59" w:rsidRPr="00B70666" w:rsidRDefault="001B4D59" w:rsidP="0058799B">
      <w:pPr>
        <w:rPr>
          <w:rFonts w:asciiTheme="minorHAnsi" w:hAnsiTheme="minorHAnsi" w:cstheme="minorHAnsi"/>
          <w:color w:val="000000"/>
          <w:sz w:val="22"/>
          <w:szCs w:val="22"/>
        </w:rPr>
      </w:pPr>
    </w:p>
    <w:p w14:paraId="06A3A267" w14:textId="6F9C0E9E" w:rsidR="001B4D59" w:rsidRPr="00B70666" w:rsidRDefault="001B4D59" w:rsidP="0058799B">
      <w:pPr>
        <w:rPr>
          <w:rFonts w:asciiTheme="minorHAnsi" w:hAnsiTheme="minorHAnsi" w:cstheme="minorHAnsi"/>
          <w:color w:val="000000"/>
          <w:sz w:val="22"/>
          <w:szCs w:val="22"/>
        </w:rPr>
      </w:pPr>
      <w:r w:rsidRPr="00B70666">
        <w:rPr>
          <w:rFonts w:asciiTheme="minorHAnsi" w:hAnsiTheme="minorHAnsi" w:cstheme="minorHAnsi"/>
          <w:color w:val="000000"/>
          <w:sz w:val="22"/>
          <w:szCs w:val="22"/>
        </w:rPr>
        <w:t>Dear Sir/Madam</w:t>
      </w:r>
      <w:r w:rsidR="0024587E" w:rsidRPr="00B70666">
        <w:rPr>
          <w:rFonts w:asciiTheme="minorHAnsi" w:hAnsiTheme="minorHAnsi" w:cstheme="minorHAnsi"/>
          <w:color w:val="000000"/>
          <w:sz w:val="22"/>
          <w:szCs w:val="22"/>
        </w:rPr>
        <w:t>:</w:t>
      </w:r>
    </w:p>
    <w:p w14:paraId="4E9A0416" w14:textId="77777777" w:rsidR="001B4D59" w:rsidRPr="00B70666" w:rsidRDefault="001B4D59" w:rsidP="0058799B">
      <w:pPr>
        <w:rPr>
          <w:rFonts w:asciiTheme="minorHAnsi" w:hAnsiTheme="minorHAnsi" w:cstheme="minorHAnsi"/>
          <w:color w:val="000000"/>
          <w:sz w:val="22"/>
          <w:szCs w:val="22"/>
        </w:rPr>
      </w:pPr>
    </w:p>
    <w:p w14:paraId="059BA274" w14:textId="40EF2623" w:rsidR="001B4D59" w:rsidRPr="00B70666" w:rsidRDefault="003B1660" w:rsidP="0058799B">
      <w:pPr>
        <w:rPr>
          <w:rFonts w:asciiTheme="minorHAnsi" w:hAnsiTheme="minorHAnsi" w:cstheme="minorHAnsi"/>
          <w:color w:val="000000"/>
          <w:sz w:val="22"/>
          <w:szCs w:val="22"/>
        </w:rPr>
      </w:pPr>
      <w:r w:rsidRPr="00B70666">
        <w:rPr>
          <w:rFonts w:asciiTheme="minorHAnsi" w:hAnsiTheme="minorHAnsi" w:cstheme="minorHAnsi"/>
          <w:color w:val="000000"/>
          <w:sz w:val="22"/>
          <w:szCs w:val="22"/>
        </w:rPr>
        <w:t>I am writing on behalf of</w:t>
      </w:r>
      <w:r w:rsidRPr="00B70666">
        <w:rPr>
          <w:rFonts w:asciiTheme="minorHAnsi" w:hAnsiTheme="minorHAnsi" w:cstheme="minorHAnsi"/>
          <w:color w:val="FF0000"/>
          <w:sz w:val="22"/>
          <w:szCs w:val="22"/>
        </w:rPr>
        <w:t xml:space="preserve"> </w:t>
      </w:r>
      <w:r w:rsidR="0021439D" w:rsidRPr="00B70666">
        <w:rPr>
          <w:rFonts w:asciiTheme="minorHAnsi" w:hAnsiTheme="minorHAnsi" w:cstheme="minorHAnsi"/>
          <w:color w:val="FF0000"/>
          <w:sz w:val="22"/>
          <w:szCs w:val="22"/>
        </w:rPr>
        <w:t xml:space="preserve">Mr./Ms Doe </w:t>
      </w:r>
      <w:r w:rsidR="001B4D59" w:rsidRPr="00B70666">
        <w:rPr>
          <w:rFonts w:asciiTheme="minorHAnsi" w:hAnsiTheme="minorHAnsi" w:cstheme="minorHAnsi"/>
          <w:color w:val="000000"/>
          <w:sz w:val="22"/>
          <w:szCs w:val="22"/>
        </w:rPr>
        <w:t>to request prior authorization to increase the current infliximab dose</w:t>
      </w:r>
      <w:r w:rsidR="00836E17" w:rsidRPr="00B70666">
        <w:rPr>
          <w:rFonts w:asciiTheme="minorHAnsi" w:hAnsiTheme="minorHAnsi" w:cstheme="minorHAnsi"/>
          <w:color w:val="000000"/>
          <w:sz w:val="22"/>
          <w:szCs w:val="22"/>
        </w:rPr>
        <w:t>,</w:t>
      </w:r>
      <w:r w:rsidR="001B4D59" w:rsidRPr="00B70666">
        <w:rPr>
          <w:rFonts w:asciiTheme="minorHAnsi" w:hAnsiTheme="minorHAnsi" w:cstheme="minorHAnsi"/>
          <w:color w:val="000000"/>
          <w:sz w:val="22"/>
          <w:szCs w:val="22"/>
        </w:rPr>
        <w:t xml:space="preserve"> and to provide you with detailed medical information to support the change. </w:t>
      </w:r>
      <w:r w:rsidR="009341C7" w:rsidRPr="00B70666">
        <w:rPr>
          <w:rFonts w:asciiTheme="minorHAnsi" w:hAnsiTheme="minorHAnsi" w:cstheme="minorHAnsi"/>
          <w:color w:val="000000"/>
          <w:sz w:val="22"/>
          <w:szCs w:val="22"/>
        </w:rPr>
        <w:t xml:space="preserve">I am requesting to increase the current dose from 5mg </w:t>
      </w:r>
      <w:r w:rsidR="00936771" w:rsidRPr="00B70666">
        <w:rPr>
          <w:rFonts w:asciiTheme="minorHAnsi" w:hAnsiTheme="minorHAnsi" w:cstheme="minorHAnsi"/>
          <w:color w:val="000000"/>
          <w:sz w:val="22"/>
          <w:szCs w:val="22"/>
        </w:rPr>
        <w:t xml:space="preserve">(every 8 weeks) </w:t>
      </w:r>
      <w:r w:rsidR="009341C7" w:rsidRPr="00B70666">
        <w:rPr>
          <w:rFonts w:asciiTheme="minorHAnsi" w:hAnsiTheme="minorHAnsi" w:cstheme="minorHAnsi"/>
          <w:color w:val="000000"/>
          <w:sz w:val="22"/>
          <w:szCs w:val="22"/>
        </w:rPr>
        <w:t>to 10mg</w:t>
      </w:r>
      <w:r w:rsidR="00936771" w:rsidRPr="00B70666">
        <w:rPr>
          <w:rFonts w:asciiTheme="minorHAnsi" w:hAnsiTheme="minorHAnsi" w:cstheme="minorHAnsi"/>
          <w:color w:val="000000"/>
          <w:sz w:val="22"/>
          <w:szCs w:val="22"/>
        </w:rPr>
        <w:t xml:space="preserve"> (every 8 weeks)</w:t>
      </w:r>
      <w:r w:rsidR="009341C7" w:rsidRPr="00B70666">
        <w:rPr>
          <w:rFonts w:asciiTheme="minorHAnsi" w:hAnsiTheme="minorHAnsi" w:cstheme="minorHAnsi"/>
          <w:color w:val="000000"/>
          <w:sz w:val="22"/>
          <w:szCs w:val="22"/>
        </w:rPr>
        <w:t xml:space="preserve"> in an effort to recapture</w:t>
      </w:r>
      <w:r w:rsidR="0021439D" w:rsidRPr="00B70666">
        <w:rPr>
          <w:rFonts w:asciiTheme="minorHAnsi" w:hAnsiTheme="minorHAnsi" w:cstheme="minorHAnsi"/>
          <w:color w:val="000000"/>
          <w:sz w:val="22"/>
          <w:szCs w:val="22"/>
        </w:rPr>
        <w:t xml:space="preserve"> </w:t>
      </w:r>
      <w:r w:rsidR="0021439D" w:rsidRPr="00B70666">
        <w:rPr>
          <w:rFonts w:asciiTheme="minorHAnsi" w:hAnsiTheme="minorHAnsi" w:cstheme="minorHAnsi"/>
          <w:color w:val="FF0000"/>
          <w:sz w:val="22"/>
          <w:szCs w:val="22"/>
        </w:rPr>
        <w:t>his/her</w:t>
      </w:r>
      <w:r w:rsidR="009341C7" w:rsidRPr="00B70666">
        <w:rPr>
          <w:rFonts w:asciiTheme="minorHAnsi" w:hAnsiTheme="minorHAnsi" w:cstheme="minorHAnsi"/>
          <w:color w:val="FF0000"/>
          <w:sz w:val="22"/>
          <w:szCs w:val="22"/>
        </w:rPr>
        <w:t xml:space="preserve"> </w:t>
      </w:r>
      <w:r w:rsidR="009341C7" w:rsidRPr="00B70666">
        <w:rPr>
          <w:rFonts w:asciiTheme="minorHAnsi" w:hAnsiTheme="minorHAnsi" w:cstheme="minorHAnsi"/>
          <w:color w:val="000000"/>
          <w:sz w:val="22"/>
          <w:szCs w:val="22"/>
        </w:rPr>
        <w:t xml:space="preserve">remission.  </w:t>
      </w:r>
      <w:r w:rsidR="00602444">
        <w:rPr>
          <w:rFonts w:asciiTheme="minorHAnsi" w:hAnsiTheme="minorHAnsi" w:cstheme="minorHAnsi"/>
          <w:color w:val="000000"/>
          <w:sz w:val="22"/>
          <w:szCs w:val="22"/>
        </w:rPr>
        <w:t xml:space="preserve">Please note, the FDA labelling </w:t>
      </w:r>
      <w:r w:rsidR="00354118">
        <w:rPr>
          <w:rFonts w:asciiTheme="minorHAnsi" w:hAnsiTheme="minorHAnsi" w:cstheme="minorHAnsi"/>
          <w:color w:val="000000"/>
          <w:sz w:val="22"/>
          <w:szCs w:val="22"/>
        </w:rPr>
        <w:t xml:space="preserve">of infliximab </w:t>
      </w:r>
      <w:r w:rsidR="00602444">
        <w:rPr>
          <w:rFonts w:asciiTheme="minorHAnsi" w:hAnsiTheme="minorHAnsi" w:cstheme="minorHAnsi"/>
          <w:color w:val="000000"/>
          <w:sz w:val="22"/>
          <w:szCs w:val="22"/>
        </w:rPr>
        <w:t>gives the treating specialist the option of dose escalation to 10mg/kg</w:t>
      </w:r>
      <w:r w:rsidR="00354118">
        <w:rPr>
          <w:rFonts w:asciiTheme="minorHAnsi" w:hAnsiTheme="minorHAnsi" w:cstheme="minorHAnsi"/>
          <w:color w:val="000000"/>
          <w:sz w:val="22"/>
          <w:szCs w:val="22"/>
        </w:rPr>
        <w:t>.</w:t>
      </w:r>
      <w:bookmarkStart w:id="0" w:name="_GoBack"/>
      <w:bookmarkEnd w:id="0"/>
    </w:p>
    <w:p w14:paraId="3DC6FD26" w14:textId="77777777" w:rsidR="0021439D" w:rsidRPr="00B70666" w:rsidRDefault="0021439D" w:rsidP="0021439D">
      <w:pPr>
        <w:contextualSpacing/>
        <w:rPr>
          <w:rFonts w:asciiTheme="minorHAnsi" w:hAnsiTheme="minorHAnsi" w:cstheme="minorHAnsi"/>
          <w:sz w:val="22"/>
          <w:szCs w:val="22"/>
        </w:rPr>
      </w:pPr>
    </w:p>
    <w:p w14:paraId="7D17D96F" w14:textId="6757B4AB" w:rsidR="001B4D59" w:rsidRPr="00B70666" w:rsidRDefault="0021439D" w:rsidP="0046123D">
      <w:pPr>
        <w:contextualSpacing/>
        <w:rPr>
          <w:rFonts w:asciiTheme="minorHAnsi" w:hAnsiTheme="minorHAnsi" w:cstheme="minorHAnsi"/>
          <w:sz w:val="22"/>
          <w:szCs w:val="22"/>
        </w:rPr>
      </w:pPr>
      <w:r w:rsidRPr="00B70666">
        <w:rPr>
          <w:rFonts w:asciiTheme="minorHAnsi" w:hAnsiTheme="minorHAnsi" w:cstheme="minorHAnsi"/>
          <w:color w:val="FF0000"/>
          <w:sz w:val="22"/>
          <w:szCs w:val="22"/>
        </w:rPr>
        <w:t xml:space="preserve">Mr./Ms. Doe </w:t>
      </w:r>
      <w:r w:rsidRPr="00B70666">
        <w:rPr>
          <w:rFonts w:asciiTheme="minorHAnsi" w:hAnsiTheme="minorHAnsi" w:cstheme="minorHAnsi"/>
          <w:sz w:val="22"/>
          <w:szCs w:val="22"/>
        </w:rPr>
        <w:t xml:space="preserve">has a history of </w:t>
      </w:r>
      <w:r w:rsidRPr="00B70666">
        <w:rPr>
          <w:rFonts w:asciiTheme="minorHAnsi" w:hAnsiTheme="minorHAnsi" w:cstheme="minorHAnsi"/>
          <w:color w:val="FF0000"/>
          <w:sz w:val="22"/>
          <w:szCs w:val="22"/>
        </w:rPr>
        <w:t xml:space="preserve">[IBD Phenotype and prior surgeries/complications (e.g., fistulas, abscess, strictures)] </w:t>
      </w:r>
      <w:r w:rsidRPr="00B70666">
        <w:rPr>
          <w:rFonts w:asciiTheme="minorHAnsi" w:hAnsiTheme="minorHAnsi" w:cstheme="minorHAnsi"/>
          <w:sz w:val="22"/>
          <w:szCs w:val="22"/>
        </w:rPr>
        <w:t xml:space="preserve">and has previously failed treatment with </w:t>
      </w:r>
      <w:r w:rsidRPr="00B70666">
        <w:rPr>
          <w:rFonts w:asciiTheme="minorHAnsi" w:hAnsiTheme="minorHAnsi" w:cstheme="minorHAnsi"/>
          <w:color w:val="FF0000"/>
          <w:sz w:val="22"/>
          <w:szCs w:val="22"/>
        </w:rPr>
        <w:t>[Previous medication failures and/or intolerances]</w:t>
      </w:r>
      <w:r w:rsidRPr="00B70666">
        <w:rPr>
          <w:rFonts w:asciiTheme="minorHAnsi" w:hAnsiTheme="minorHAnsi" w:cstheme="minorHAnsi"/>
          <w:sz w:val="22"/>
          <w:szCs w:val="22"/>
        </w:rPr>
        <w:t xml:space="preserve">.  </w:t>
      </w:r>
      <w:r w:rsidRPr="00B70666">
        <w:rPr>
          <w:rFonts w:asciiTheme="minorHAnsi" w:hAnsiTheme="minorHAnsi" w:cstheme="minorHAnsi"/>
          <w:color w:val="FF0000"/>
          <w:sz w:val="22"/>
          <w:szCs w:val="22"/>
        </w:rPr>
        <w:t xml:space="preserve">Mr./Ms. Doe </w:t>
      </w:r>
      <w:r w:rsidRPr="00B70666">
        <w:rPr>
          <w:rFonts w:asciiTheme="minorHAnsi" w:hAnsiTheme="minorHAnsi" w:cstheme="minorHAnsi"/>
          <w:sz w:val="22"/>
          <w:szCs w:val="22"/>
        </w:rPr>
        <w:t xml:space="preserve">was started on infliximab </w:t>
      </w:r>
      <w:r w:rsidRPr="00B70666">
        <w:rPr>
          <w:rFonts w:asciiTheme="minorHAnsi" w:hAnsiTheme="minorHAnsi" w:cstheme="minorHAnsi"/>
          <w:color w:val="FF0000"/>
          <w:sz w:val="22"/>
          <w:szCs w:val="22"/>
        </w:rPr>
        <w:t xml:space="preserve">[Month/Year of induction] </w:t>
      </w:r>
      <w:r w:rsidRPr="00B70666">
        <w:rPr>
          <w:rFonts w:asciiTheme="minorHAnsi" w:hAnsiTheme="minorHAnsi" w:cstheme="minorHAnsi"/>
          <w:sz w:val="22"/>
          <w:szCs w:val="22"/>
        </w:rPr>
        <w:t xml:space="preserve">and has done well on infliximab 5 mg/kg every 8 weeks maintenance therapy.  Unfortunately, since </w:t>
      </w:r>
      <w:r w:rsidRPr="00B70666">
        <w:rPr>
          <w:rFonts w:asciiTheme="minorHAnsi" w:hAnsiTheme="minorHAnsi" w:cstheme="minorHAnsi"/>
          <w:color w:val="FF0000"/>
          <w:sz w:val="22"/>
          <w:szCs w:val="22"/>
        </w:rPr>
        <w:t xml:space="preserve">[Date of flare symptoms] Mr./Ms. Doe </w:t>
      </w:r>
      <w:r w:rsidRPr="00B70666">
        <w:rPr>
          <w:rFonts w:asciiTheme="minorHAnsi" w:hAnsiTheme="minorHAnsi" w:cstheme="minorHAnsi"/>
          <w:sz w:val="22"/>
          <w:szCs w:val="22"/>
        </w:rPr>
        <w:t>has developed increasing symptoms of active disease [</w:t>
      </w:r>
      <w:r w:rsidRPr="00B70666">
        <w:rPr>
          <w:rFonts w:asciiTheme="minorHAnsi" w:hAnsiTheme="minorHAnsi" w:cstheme="minorHAnsi"/>
          <w:color w:val="FF0000"/>
          <w:sz w:val="22"/>
          <w:szCs w:val="22"/>
        </w:rPr>
        <w:t>can also add pertinent colonoscopy, CRP, calprotectin, or infliximab level data here</w:t>
      </w:r>
      <w:r w:rsidRPr="00B70666">
        <w:rPr>
          <w:rFonts w:asciiTheme="minorHAnsi" w:hAnsiTheme="minorHAnsi" w:cstheme="minorHAnsi"/>
          <w:sz w:val="22"/>
          <w:szCs w:val="22"/>
        </w:rPr>
        <w:t xml:space="preserve">] despite ongoing treatment with infliximab at standard dosing.  Given </w:t>
      </w:r>
      <w:r w:rsidRPr="00B70666">
        <w:rPr>
          <w:rFonts w:asciiTheme="minorHAnsi" w:hAnsiTheme="minorHAnsi" w:cstheme="minorHAnsi"/>
          <w:color w:val="FF0000"/>
          <w:sz w:val="22"/>
          <w:szCs w:val="22"/>
        </w:rPr>
        <w:t xml:space="preserve">his/her </w:t>
      </w:r>
      <w:r w:rsidRPr="00B70666">
        <w:rPr>
          <w:rFonts w:asciiTheme="minorHAnsi" w:hAnsiTheme="minorHAnsi" w:cstheme="minorHAnsi"/>
          <w:sz w:val="22"/>
          <w:szCs w:val="22"/>
        </w:rPr>
        <w:t xml:space="preserve">previous medication failures, initial clinical response to infliximab therapy, and ongoing active inflammation, I am requesting approval for an increase to infliximab 10 mg/kg q8 weeks. </w:t>
      </w:r>
    </w:p>
    <w:p w14:paraId="16FD6FD0" w14:textId="77777777" w:rsidR="001B4D59" w:rsidRPr="00B70666" w:rsidRDefault="001B4D59" w:rsidP="0046123D">
      <w:pPr>
        <w:rPr>
          <w:rFonts w:asciiTheme="minorHAnsi" w:hAnsiTheme="minorHAnsi" w:cstheme="minorHAnsi"/>
          <w:b/>
          <w:color w:val="000000"/>
          <w:sz w:val="22"/>
          <w:szCs w:val="22"/>
        </w:rPr>
      </w:pPr>
    </w:p>
    <w:p w14:paraId="13B7350A" w14:textId="0E9726AC" w:rsidR="001B4D59" w:rsidRPr="00B70666" w:rsidRDefault="001B4D59" w:rsidP="00FB7E84">
      <w:pPr>
        <w:rPr>
          <w:rFonts w:asciiTheme="minorHAnsi" w:hAnsiTheme="minorHAnsi" w:cstheme="minorHAnsi"/>
          <w:color w:val="000000"/>
          <w:sz w:val="22"/>
          <w:szCs w:val="22"/>
        </w:rPr>
      </w:pPr>
      <w:r w:rsidRPr="00B70666">
        <w:rPr>
          <w:rFonts w:asciiTheme="minorHAnsi" w:hAnsiTheme="minorHAnsi" w:cstheme="minorHAnsi"/>
          <w:color w:val="000000"/>
          <w:sz w:val="22"/>
          <w:szCs w:val="22"/>
        </w:rPr>
        <w:t>Regueiro et al</w:t>
      </w:r>
      <w:r w:rsidR="00707B70" w:rsidRPr="00B70666">
        <w:rPr>
          <w:rFonts w:asciiTheme="minorHAnsi" w:hAnsiTheme="minorHAnsi" w:cstheme="minorHAnsi"/>
          <w:color w:val="000000"/>
          <w:sz w:val="22"/>
          <w:szCs w:val="22"/>
          <w:vertAlign w:val="superscript"/>
        </w:rPr>
        <w:t xml:space="preserve">1 </w:t>
      </w:r>
      <w:r w:rsidRPr="00B70666">
        <w:rPr>
          <w:rFonts w:asciiTheme="minorHAnsi" w:hAnsiTheme="minorHAnsi" w:cstheme="minorHAnsi"/>
          <w:color w:val="000000"/>
          <w:sz w:val="22"/>
          <w:szCs w:val="22"/>
        </w:rPr>
        <w:t>studied Crohn’s disease patients who required dose intensification, defined as either an increase in infliximab dose</w:t>
      </w:r>
      <w:r w:rsidR="00836E17" w:rsidRPr="00B70666">
        <w:rPr>
          <w:rFonts w:asciiTheme="minorHAnsi" w:hAnsiTheme="minorHAnsi" w:cstheme="minorHAnsi"/>
          <w:color w:val="000000"/>
          <w:sz w:val="22"/>
          <w:szCs w:val="22"/>
        </w:rPr>
        <w:t>,</w:t>
      </w:r>
      <w:r w:rsidRPr="00B70666">
        <w:rPr>
          <w:rFonts w:asciiTheme="minorHAnsi" w:hAnsiTheme="minorHAnsi" w:cstheme="minorHAnsi"/>
          <w:color w:val="000000"/>
          <w:sz w:val="22"/>
          <w:szCs w:val="22"/>
        </w:rPr>
        <w:t xml:space="preserve"> or a decrease in infusion interval. </w:t>
      </w:r>
      <w:r w:rsidR="0021439D" w:rsidRPr="00B70666">
        <w:rPr>
          <w:rFonts w:asciiTheme="minorHAnsi" w:hAnsiTheme="minorHAnsi" w:cstheme="minorHAnsi"/>
          <w:color w:val="000000"/>
          <w:sz w:val="22"/>
          <w:szCs w:val="22"/>
        </w:rPr>
        <w:t xml:space="preserve"> </w:t>
      </w:r>
      <w:r w:rsidRPr="00B70666">
        <w:rPr>
          <w:rFonts w:asciiTheme="minorHAnsi" w:hAnsiTheme="minorHAnsi" w:cstheme="minorHAnsi"/>
          <w:color w:val="000000"/>
          <w:sz w:val="22"/>
          <w:szCs w:val="22"/>
        </w:rPr>
        <w:t xml:space="preserve"> At 30-months from initial infusion, 69.1% of all patients were event-free from an interval decrease, 48.5% were event-free from a dose increase, and 45.7</w:t>
      </w:r>
      <w:r w:rsidR="00836E17" w:rsidRPr="00B70666">
        <w:rPr>
          <w:rFonts w:asciiTheme="minorHAnsi" w:hAnsiTheme="minorHAnsi" w:cstheme="minorHAnsi"/>
          <w:color w:val="000000"/>
          <w:sz w:val="22"/>
          <w:szCs w:val="22"/>
        </w:rPr>
        <w:t>%</w:t>
      </w:r>
      <w:r w:rsidRPr="00B70666">
        <w:rPr>
          <w:rFonts w:asciiTheme="minorHAnsi" w:hAnsiTheme="minorHAnsi" w:cstheme="minorHAnsi"/>
          <w:color w:val="000000"/>
          <w:sz w:val="22"/>
          <w:szCs w:val="22"/>
        </w:rPr>
        <w:t xml:space="preserve"> were event-free for dose intensification. </w:t>
      </w:r>
    </w:p>
    <w:p w14:paraId="767A7621" w14:textId="77777777" w:rsidR="001B4D59" w:rsidRPr="00B70666" w:rsidRDefault="001B4D59" w:rsidP="0046123D">
      <w:pPr>
        <w:rPr>
          <w:rFonts w:asciiTheme="minorHAnsi" w:hAnsiTheme="minorHAnsi" w:cstheme="minorHAnsi"/>
          <w:color w:val="000000"/>
          <w:sz w:val="22"/>
          <w:szCs w:val="22"/>
        </w:rPr>
      </w:pPr>
    </w:p>
    <w:p w14:paraId="5312C45A" w14:textId="51D1F74D" w:rsidR="001B4D59" w:rsidRPr="00B70666" w:rsidRDefault="001B4D59" w:rsidP="008B2833">
      <w:pPr>
        <w:rPr>
          <w:rFonts w:asciiTheme="minorHAnsi" w:hAnsiTheme="minorHAnsi" w:cstheme="minorHAnsi"/>
          <w:color w:val="000000"/>
          <w:sz w:val="22"/>
          <w:szCs w:val="22"/>
        </w:rPr>
      </w:pPr>
      <w:r w:rsidRPr="00B70666">
        <w:rPr>
          <w:rFonts w:asciiTheme="minorHAnsi" w:hAnsiTheme="minorHAnsi" w:cstheme="minorHAnsi"/>
          <w:color w:val="000000"/>
          <w:sz w:val="22"/>
          <w:szCs w:val="22"/>
        </w:rPr>
        <w:t>Shih et al</w:t>
      </w:r>
      <w:r w:rsidR="00707B70" w:rsidRPr="00B70666">
        <w:rPr>
          <w:rFonts w:asciiTheme="minorHAnsi" w:hAnsiTheme="minorHAnsi" w:cstheme="minorHAnsi"/>
          <w:color w:val="000000"/>
          <w:sz w:val="22"/>
          <w:szCs w:val="22"/>
          <w:vertAlign w:val="superscript"/>
        </w:rPr>
        <w:t>2</w:t>
      </w:r>
      <w:r w:rsidR="00707B70" w:rsidRPr="00B70666">
        <w:rPr>
          <w:rFonts w:asciiTheme="minorHAnsi" w:hAnsiTheme="minorHAnsi" w:cstheme="minorHAnsi"/>
          <w:color w:val="000000"/>
          <w:sz w:val="22"/>
          <w:szCs w:val="22"/>
        </w:rPr>
        <w:t xml:space="preserve"> </w:t>
      </w:r>
      <w:r w:rsidRPr="00B70666">
        <w:rPr>
          <w:rFonts w:asciiTheme="minorHAnsi" w:hAnsiTheme="minorHAnsi" w:cstheme="minorHAnsi"/>
          <w:color w:val="000000"/>
          <w:sz w:val="22"/>
          <w:szCs w:val="22"/>
        </w:rPr>
        <w:t>did a retrospective analysis of Crohn’s patients who received infliximab over a five</w:t>
      </w:r>
      <w:r w:rsidR="00836E17" w:rsidRPr="00B70666">
        <w:rPr>
          <w:rFonts w:asciiTheme="minorHAnsi" w:hAnsiTheme="minorHAnsi" w:cstheme="minorHAnsi"/>
          <w:color w:val="000000"/>
          <w:sz w:val="22"/>
          <w:szCs w:val="22"/>
        </w:rPr>
        <w:t>-</w:t>
      </w:r>
      <w:r w:rsidRPr="00B70666">
        <w:rPr>
          <w:rFonts w:asciiTheme="minorHAnsi" w:hAnsiTheme="minorHAnsi" w:cstheme="minorHAnsi"/>
          <w:color w:val="000000"/>
          <w:sz w:val="22"/>
          <w:szCs w:val="22"/>
        </w:rPr>
        <w:t>year period. Forty eight percent (48%) of patients required an increase in dosage and/or a decrease in interval to maintain response</w:t>
      </w:r>
      <w:r w:rsidR="00836E17" w:rsidRPr="00B70666">
        <w:rPr>
          <w:rFonts w:asciiTheme="minorHAnsi" w:hAnsiTheme="minorHAnsi" w:cstheme="minorHAnsi"/>
          <w:color w:val="000000"/>
          <w:sz w:val="22"/>
          <w:szCs w:val="22"/>
        </w:rPr>
        <w:t>:</w:t>
      </w:r>
      <w:r w:rsidRPr="00B70666">
        <w:rPr>
          <w:rFonts w:asciiTheme="minorHAnsi" w:hAnsiTheme="minorHAnsi" w:cstheme="minorHAnsi"/>
          <w:color w:val="000000"/>
          <w:sz w:val="22"/>
          <w:szCs w:val="22"/>
        </w:rPr>
        <w:t xml:space="preserve"> </w:t>
      </w:r>
      <w:r w:rsidR="00836E17" w:rsidRPr="00B70666">
        <w:rPr>
          <w:rFonts w:asciiTheme="minorHAnsi" w:hAnsiTheme="minorHAnsi" w:cstheme="minorHAnsi"/>
          <w:color w:val="000000"/>
          <w:sz w:val="22"/>
          <w:szCs w:val="22"/>
        </w:rPr>
        <w:t>s</w:t>
      </w:r>
      <w:r w:rsidRPr="00B70666">
        <w:rPr>
          <w:rFonts w:asciiTheme="minorHAnsi" w:hAnsiTheme="minorHAnsi" w:cstheme="minorHAnsi"/>
          <w:color w:val="000000"/>
          <w:sz w:val="22"/>
          <w:szCs w:val="22"/>
        </w:rPr>
        <w:t>pecifically, a dose increase to 10 mg/kg to maintain response in 32% of patients</w:t>
      </w:r>
      <w:r w:rsidR="00836E17" w:rsidRPr="00B70666">
        <w:rPr>
          <w:rFonts w:asciiTheme="minorHAnsi" w:hAnsiTheme="minorHAnsi" w:cstheme="minorHAnsi"/>
          <w:color w:val="000000"/>
          <w:sz w:val="22"/>
          <w:szCs w:val="22"/>
        </w:rPr>
        <w:t>,</w:t>
      </w:r>
      <w:r w:rsidRPr="00B70666">
        <w:rPr>
          <w:rFonts w:asciiTheme="minorHAnsi" w:hAnsiTheme="minorHAnsi" w:cstheme="minorHAnsi"/>
          <w:color w:val="000000"/>
          <w:sz w:val="22"/>
          <w:szCs w:val="22"/>
        </w:rPr>
        <w:t xml:space="preserve"> and a decrease in interval in 27% of patients.</w:t>
      </w:r>
    </w:p>
    <w:p w14:paraId="12038DFC" w14:textId="4FEE5752" w:rsidR="001B4D59" w:rsidRPr="00B70666" w:rsidRDefault="001B4D59" w:rsidP="008B2833">
      <w:pPr>
        <w:rPr>
          <w:rFonts w:asciiTheme="minorHAnsi" w:hAnsiTheme="minorHAnsi" w:cstheme="minorHAnsi"/>
          <w:color w:val="000000"/>
          <w:sz w:val="22"/>
          <w:szCs w:val="22"/>
        </w:rPr>
      </w:pPr>
    </w:p>
    <w:p w14:paraId="0598B62A" w14:textId="3D0ECC01" w:rsidR="0021439D" w:rsidRPr="00B70666" w:rsidRDefault="0021439D" w:rsidP="008B2833">
      <w:pPr>
        <w:rPr>
          <w:rFonts w:asciiTheme="minorHAnsi" w:hAnsiTheme="minorHAnsi" w:cstheme="minorHAnsi"/>
          <w:color w:val="000000"/>
          <w:sz w:val="22"/>
          <w:szCs w:val="22"/>
        </w:rPr>
      </w:pPr>
      <w:r w:rsidRPr="00B70666">
        <w:rPr>
          <w:rFonts w:asciiTheme="minorHAnsi" w:hAnsiTheme="minorHAnsi" w:cstheme="minorHAnsi"/>
          <w:sz w:val="22"/>
          <w:szCs w:val="22"/>
        </w:rPr>
        <w:t xml:space="preserve">These data confirm that the need for infliximab dose escalation is a common, and that this strategy is successful in re-capturing a clinical response for a significant number of patients with Crohn’s or ulcerative colitis.   </w:t>
      </w:r>
    </w:p>
    <w:p w14:paraId="2D6AB57E" w14:textId="6D24BCAE" w:rsidR="001B4D59" w:rsidRPr="00B70666" w:rsidRDefault="0021439D" w:rsidP="0058799B">
      <w:pPr>
        <w:rPr>
          <w:rFonts w:asciiTheme="minorHAnsi" w:hAnsiTheme="minorHAnsi" w:cstheme="minorHAnsi"/>
          <w:color w:val="000000"/>
          <w:sz w:val="22"/>
          <w:szCs w:val="22"/>
        </w:rPr>
      </w:pPr>
      <w:r w:rsidRPr="00B70666">
        <w:rPr>
          <w:rFonts w:asciiTheme="minorHAnsi" w:hAnsiTheme="minorHAnsi" w:cstheme="minorHAnsi"/>
          <w:color w:val="000000"/>
          <w:sz w:val="22"/>
          <w:szCs w:val="22"/>
        </w:rPr>
        <w:t xml:space="preserve"> </w:t>
      </w:r>
    </w:p>
    <w:p w14:paraId="678CD95A" w14:textId="7F091E95" w:rsidR="0021439D" w:rsidRPr="00B70666" w:rsidRDefault="0021439D" w:rsidP="0021439D">
      <w:pPr>
        <w:contextualSpacing/>
        <w:rPr>
          <w:rFonts w:asciiTheme="minorHAnsi" w:hAnsiTheme="minorHAnsi" w:cstheme="minorHAnsi"/>
          <w:sz w:val="22"/>
          <w:szCs w:val="22"/>
        </w:rPr>
      </w:pPr>
      <w:r w:rsidRPr="00B70666">
        <w:rPr>
          <w:rFonts w:asciiTheme="minorHAnsi" w:hAnsiTheme="minorHAnsi" w:cstheme="minorHAnsi"/>
          <w:sz w:val="22"/>
          <w:szCs w:val="22"/>
        </w:rPr>
        <w:t xml:space="preserve">It is certainly the most conservative course of action for this patient as we know that </w:t>
      </w:r>
      <w:r w:rsidRPr="00B70666">
        <w:rPr>
          <w:rFonts w:asciiTheme="minorHAnsi" w:hAnsiTheme="minorHAnsi" w:cstheme="minorHAnsi"/>
          <w:color w:val="FF0000"/>
          <w:sz w:val="22"/>
          <w:szCs w:val="22"/>
        </w:rPr>
        <w:t xml:space="preserve">he/she </w:t>
      </w:r>
      <w:r w:rsidRPr="00B70666">
        <w:rPr>
          <w:rFonts w:asciiTheme="minorHAnsi" w:hAnsiTheme="minorHAnsi" w:cstheme="minorHAnsi"/>
          <w:sz w:val="22"/>
          <w:szCs w:val="22"/>
        </w:rPr>
        <w:t xml:space="preserve">has responded to the mechanism of action of infliximab.  In addition, changing this patient to an alternative medication prior to a trial of dose escalation could put the patient at risk to develop anti-drug antibodies and may limit future use of infliximab.  </w:t>
      </w:r>
    </w:p>
    <w:p w14:paraId="217B459D" w14:textId="77777777" w:rsidR="0021439D" w:rsidRPr="00B70666" w:rsidRDefault="0021439D" w:rsidP="0021439D">
      <w:pPr>
        <w:contextualSpacing/>
        <w:rPr>
          <w:rFonts w:asciiTheme="minorHAnsi" w:hAnsiTheme="minorHAnsi" w:cstheme="minorHAnsi"/>
          <w:sz w:val="22"/>
          <w:szCs w:val="22"/>
        </w:rPr>
      </w:pPr>
    </w:p>
    <w:p w14:paraId="112A4B70" w14:textId="46AB3F82" w:rsidR="0021439D" w:rsidRPr="00B70666" w:rsidRDefault="0021439D" w:rsidP="0021439D">
      <w:pPr>
        <w:contextualSpacing/>
        <w:rPr>
          <w:rFonts w:asciiTheme="minorHAnsi" w:hAnsiTheme="minorHAnsi" w:cstheme="minorHAnsi"/>
          <w:sz w:val="22"/>
          <w:szCs w:val="22"/>
        </w:rPr>
      </w:pPr>
      <w:r w:rsidRPr="00B70666">
        <w:rPr>
          <w:rFonts w:asciiTheme="minorHAnsi" w:hAnsiTheme="minorHAnsi" w:cstheme="minorHAnsi"/>
          <w:sz w:val="22"/>
          <w:szCs w:val="22"/>
        </w:rPr>
        <w:t xml:space="preserve">Based on the data presented in this letter and my professional experience, I am advocating that dose-escalated Infliximab be a covered benefit for </w:t>
      </w:r>
      <w:r w:rsidRPr="00B70666">
        <w:rPr>
          <w:rFonts w:asciiTheme="minorHAnsi" w:hAnsiTheme="minorHAnsi" w:cstheme="minorHAnsi"/>
          <w:color w:val="FF0000"/>
          <w:sz w:val="22"/>
          <w:szCs w:val="22"/>
        </w:rPr>
        <w:t>Mr./Ms. Doe</w:t>
      </w:r>
      <w:r w:rsidRPr="00B70666">
        <w:rPr>
          <w:rFonts w:asciiTheme="minorHAnsi" w:hAnsiTheme="minorHAnsi" w:cstheme="minorHAnsi"/>
          <w:sz w:val="22"/>
          <w:szCs w:val="22"/>
        </w:rPr>
        <w:t xml:space="preserve">. I appreciate your consideration in this matter.  As my patient is suffering with symptoms at this time that put </w:t>
      </w:r>
      <w:r w:rsidRPr="00B70666">
        <w:rPr>
          <w:rFonts w:asciiTheme="minorHAnsi" w:hAnsiTheme="minorHAnsi" w:cstheme="minorHAnsi"/>
          <w:color w:val="FF0000"/>
          <w:sz w:val="22"/>
          <w:szCs w:val="22"/>
        </w:rPr>
        <w:t xml:space="preserve">him/her </w:t>
      </w:r>
      <w:r w:rsidRPr="00B70666">
        <w:rPr>
          <w:rFonts w:asciiTheme="minorHAnsi" w:hAnsiTheme="minorHAnsi" w:cstheme="minorHAnsi"/>
          <w:sz w:val="22"/>
          <w:szCs w:val="22"/>
        </w:rPr>
        <w:t xml:space="preserve">at risk to develop serious complications from </w:t>
      </w:r>
      <w:r w:rsidRPr="00B70666">
        <w:rPr>
          <w:rFonts w:asciiTheme="minorHAnsi" w:hAnsiTheme="minorHAnsi" w:cstheme="minorHAnsi"/>
          <w:color w:val="FF0000"/>
          <w:sz w:val="22"/>
          <w:szCs w:val="22"/>
        </w:rPr>
        <w:t xml:space="preserve">his/her </w:t>
      </w:r>
      <w:r w:rsidRPr="00B70666">
        <w:rPr>
          <w:rFonts w:asciiTheme="minorHAnsi" w:hAnsiTheme="minorHAnsi" w:cstheme="minorHAnsi"/>
          <w:sz w:val="22"/>
          <w:szCs w:val="22"/>
        </w:rPr>
        <w:t xml:space="preserve">disease, I hope that you can expedite this request so that </w:t>
      </w:r>
      <w:r w:rsidRPr="00B70666">
        <w:rPr>
          <w:rFonts w:asciiTheme="minorHAnsi" w:hAnsiTheme="minorHAnsi" w:cstheme="minorHAnsi"/>
          <w:color w:val="FF0000"/>
          <w:sz w:val="22"/>
          <w:szCs w:val="22"/>
        </w:rPr>
        <w:t xml:space="preserve">he/she </w:t>
      </w:r>
      <w:r w:rsidRPr="00B70666">
        <w:rPr>
          <w:rFonts w:asciiTheme="minorHAnsi" w:hAnsiTheme="minorHAnsi" w:cstheme="minorHAnsi"/>
          <w:sz w:val="22"/>
          <w:szCs w:val="22"/>
        </w:rPr>
        <w:t xml:space="preserve">can be started on therapy as soon as possible.   Please feel free to contact my office if any additional information will help clarify this request.  </w:t>
      </w:r>
    </w:p>
    <w:p w14:paraId="1E9CD265" w14:textId="77777777" w:rsidR="0021439D" w:rsidRPr="00B70666" w:rsidRDefault="0021439D" w:rsidP="0021439D">
      <w:pPr>
        <w:contextualSpacing/>
        <w:rPr>
          <w:rFonts w:asciiTheme="minorHAnsi" w:hAnsiTheme="minorHAnsi" w:cstheme="minorHAnsi"/>
          <w:sz w:val="22"/>
          <w:szCs w:val="22"/>
        </w:rPr>
      </w:pPr>
    </w:p>
    <w:p w14:paraId="014023D8" w14:textId="77777777" w:rsidR="0021439D" w:rsidRPr="00B70666" w:rsidRDefault="0021439D" w:rsidP="0021439D">
      <w:pPr>
        <w:contextualSpacing/>
        <w:rPr>
          <w:rFonts w:asciiTheme="minorHAnsi" w:hAnsiTheme="minorHAnsi" w:cstheme="minorHAnsi"/>
          <w:sz w:val="22"/>
          <w:szCs w:val="22"/>
        </w:rPr>
      </w:pPr>
      <w:r w:rsidRPr="00B70666">
        <w:rPr>
          <w:rFonts w:asciiTheme="minorHAnsi" w:hAnsiTheme="minorHAnsi" w:cstheme="minorHAnsi"/>
          <w:sz w:val="22"/>
          <w:szCs w:val="22"/>
        </w:rPr>
        <w:t>Sincerely,</w:t>
      </w:r>
    </w:p>
    <w:p w14:paraId="14ABBCF5" w14:textId="77777777" w:rsidR="0021439D" w:rsidRPr="00B70666" w:rsidRDefault="0021439D" w:rsidP="0021439D">
      <w:pPr>
        <w:contextualSpacing/>
        <w:rPr>
          <w:rFonts w:asciiTheme="minorHAnsi" w:hAnsiTheme="minorHAnsi" w:cstheme="minorHAnsi"/>
          <w:sz w:val="22"/>
          <w:szCs w:val="22"/>
        </w:rPr>
      </w:pPr>
    </w:p>
    <w:p w14:paraId="1B7CD248" w14:textId="77777777" w:rsidR="0021439D" w:rsidRPr="00B70666" w:rsidRDefault="0021439D" w:rsidP="0021439D">
      <w:pPr>
        <w:contextualSpacing/>
        <w:rPr>
          <w:rFonts w:asciiTheme="minorHAnsi" w:hAnsiTheme="minorHAnsi" w:cstheme="minorHAnsi"/>
          <w:color w:val="FF0000"/>
          <w:sz w:val="22"/>
          <w:szCs w:val="22"/>
        </w:rPr>
      </w:pPr>
      <w:r w:rsidRPr="00B70666">
        <w:rPr>
          <w:rFonts w:asciiTheme="minorHAnsi" w:hAnsiTheme="minorHAnsi" w:cstheme="minorHAnsi"/>
          <w:color w:val="FF0000"/>
          <w:sz w:val="22"/>
          <w:szCs w:val="22"/>
        </w:rPr>
        <w:t>Dr.</w:t>
      </w:r>
    </w:p>
    <w:p w14:paraId="1E9BD9E1" w14:textId="434A8E69" w:rsidR="0021439D" w:rsidRPr="00B70666" w:rsidRDefault="0021439D" w:rsidP="0021439D">
      <w:pPr>
        <w:contextualSpacing/>
        <w:rPr>
          <w:rFonts w:asciiTheme="minorHAnsi" w:hAnsiTheme="minorHAnsi" w:cstheme="minorHAnsi"/>
          <w:color w:val="FF0000"/>
          <w:sz w:val="22"/>
          <w:szCs w:val="22"/>
        </w:rPr>
      </w:pPr>
      <w:r w:rsidRPr="00B70666">
        <w:rPr>
          <w:rFonts w:asciiTheme="minorHAnsi" w:hAnsiTheme="minorHAnsi" w:cstheme="minorHAnsi"/>
          <w:color w:val="FF0000"/>
          <w:sz w:val="22"/>
          <w:szCs w:val="22"/>
        </w:rPr>
        <w:t>Contact info</w:t>
      </w:r>
    </w:p>
    <w:p w14:paraId="1E462C36" w14:textId="051AD3D6" w:rsidR="008B349A" w:rsidRPr="00B70666" w:rsidRDefault="008B349A" w:rsidP="0021439D">
      <w:pPr>
        <w:contextualSpacing/>
        <w:rPr>
          <w:rFonts w:asciiTheme="minorHAnsi" w:hAnsiTheme="minorHAnsi" w:cstheme="minorHAnsi"/>
          <w:color w:val="FF0000"/>
          <w:sz w:val="22"/>
          <w:szCs w:val="22"/>
        </w:rPr>
      </w:pPr>
    </w:p>
    <w:p w14:paraId="713D5F67" w14:textId="1B4FF117" w:rsidR="008B349A" w:rsidRPr="00B70666" w:rsidRDefault="008B349A" w:rsidP="0021439D">
      <w:pPr>
        <w:contextualSpacing/>
        <w:rPr>
          <w:rFonts w:asciiTheme="minorHAnsi" w:hAnsiTheme="minorHAnsi" w:cstheme="minorHAnsi"/>
          <w:sz w:val="22"/>
          <w:szCs w:val="22"/>
        </w:rPr>
      </w:pPr>
      <w:r w:rsidRPr="00B70666">
        <w:rPr>
          <w:rFonts w:asciiTheme="minorHAnsi" w:hAnsiTheme="minorHAnsi" w:cstheme="minorHAnsi"/>
          <w:sz w:val="22"/>
          <w:szCs w:val="22"/>
        </w:rPr>
        <w:t>References</w:t>
      </w:r>
    </w:p>
    <w:p w14:paraId="04A60BAB" w14:textId="711A4CD3" w:rsidR="00707B70" w:rsidRPr="00B70666" w:rsidRDefault="00707B70" w:rsidP="0021439D">
      <w:pPr>
        <w:contextualSpacing/>
        <w:rPr>
          <w:rFonts w:asciiTheme="minorHAnsi" w:hAnsiTheme="minorHAnsi" w:cstheme="minorHAnsi"/>
          <w:color w:val="FF0000"/>
          <w:sz w:val="22"/>
          <w:szCs w:val="22"/>
        </w:rPr>
      </w:pPr>
    </w:p>
    <w:p w14:paraId="04738280" w14:textId="583ECBBA" w:rsidR="00707B70" w:rsidRPr="00B70666" w:rsidRDefault="00707B70" w:rsidP="00707B70">
      <w:pPr>
        <w:pStyle w:val="FootnoteText"/>
        <w:numPr>
          <w:ilvl w:val="0"/>
          <w:numId w:val="2"/>
        </w:numPr>
        <w:rPr>
          <w:rFonts w:asciiTheme="minorHAnsi" w:hAnsiTheme="minorHAnsi" w:cstheme="minorHAnsi"/>
          <w:sz w:val="22"/>
          <w:szCs w:val="22"/>
        </w:rPr>
      </w:pPr>
      <w:r w:rsidRPr="00602444">
        <w:rPr>
          <w:rFonts w:asciiTheme="minorHAnsi" w:hAnsiTheme="minorHAnsi" w:cstheme="minorHAnsi"/>
          <w:sz w:val="22"/>
          <w:szCs w:val="22"/>
        </w:rPr>
        <w:t xml:space="preserve">Regueiro M, Siemanowski B, Kip K, et al. </w:t>
      </w:r>
      <w:r w:rsidRPr="00B70666">
        <w:rPr>
          <w:rFonts w:asciiTheme="minorHAnsi" w:hAnsiTheme="minorHAnsi" w:cstheme="minorHAnsi"/>
          <w:sz w:val="22"/>
          <w:szCs w:val="22"/>
        </w:rPr>
        <w:t xml:space="preserve">Infliximab dose intensification in Crohn’s disease. </w:t>
      </w:r>
      <w:r w:rsidRPr="00B70666">
        <w:rPr>
          <w:rFonts w:asciiTheme="minorHAnsi" w:hAnsiTheme="minorHAnsi" w:cstheme="minorHAnsi"/>
          <w:i/>
          <w:sz w:val="22"/>
          <w:szCs w:val="22"/>
        </w:rPr>
        <w:t>Inflamm Bowel Disease</w:t>
      </w:r>
      <w:r w:rsidRPr="00B70666">
        <w:rPr>
          <w:rFonts w:asciiTheme="minorHAnsi" w:hAnsiTheme="minorHAnsi" w:cstheme="minorHAnsi"/>
          <w:sz w:val="22"/>
          <w:szCs w:val="22"/>
        </w:rPr>
        <w:t>. Published online first May 4, 2007; doi:10.1002/ibd.20177.</w:t>
      </w:r>
    </w:p>
    <w:p w14:paraId="20EAF90F" w14:textId="77777777" w:rsidR="00707B70" w:rsidRPr="00B70666" w:rsidRDefault="00707B70" w:rsidP="00707B70">
      <w:pPr>
        <w:pStyle w:val="FootnoteText"/>
        <w:rPr>
          <w:rFonts w:asciiTheme="minorHAnsi" w:hAnsiTheme="minorHAnsi" w:cstheme="minorHAnsi"/>
          <w:sz w:val="22"/>
          <w:szCs w:val="22"/>
        </w:rPr>
      </w:pPr>
    </w:p>
    <w:p w14:paraId="5E6220D8" w14:textId="61BD1DDD" w:rsidR="00707B70" w:rsidRPr="00B70666" w:rsidRDefault="00707B70" w:rsidP="00707B70">
      <w:pPr>
        <w:pStyle w:val="FootnoteText"/>
        <w:numPr>
          <w:ilvl w:val="0"/>
          <w:numId w:val="2"/>
        </w:numPr>
        <w:rPr>
          <w:rFonts w:asciiTheme="minorHAnsi" w:hAnsiTheme="minorHAnsi" w:cstheme="minorHAnsi"/>
          <w:sz w:val="22"/>
          <w:szCs w:val="22"/>
        </w:rPr>
      </w:pPr>
      <w:r w:rsidRPr="00B70666">
        <w:rPr>
          <w:rFonts w:asciiTheme="minorHAnsi" w:hAnsiTheme="minorHAnsi" w:cstheme="minorHAnsi"/>
          <w:sz w:val="22"/>
          <w:szCs w:val="22"/>
          <w:lang w:val="sv-SE"/>
        </w:rPr>
        <w:t xml:space="preserve">Shih GE, Bayless TM, Harr ML. </w:t>
      </w:r>
      <w:r w:rsidRPr="00B70666">
        <w:rPr>
          <w:rFonts w:asciiTheme="minorHAnsi" w:hAnsiTheme="minorHAnsi" w:cstheme="minorHAnsi"/>
          <w:sz w:val="22"/>
          <w:szCs w:val="22"/>
        </w:rPr>
        <w:t xml:space="preserve">Maintenance of long term response to infliximab over 1 to 5 years in Crohn’s Disease including shortening dosing intervals or increasing dosage. [Abstract]. </w:t>
      </w:r>
      <w:r w:rsidRPr="00B70666">
        <w:rPr>
          <w:rFonts w:asciiTheme="minorHAnsi" w:hAnsiTheme="minorHAnsi" w:cstheme="minorHAnsi"/>
          <w:i/>
          <w:sz w:val="22"/>
          <w:szCs w:val="22"/>
        </w:rPr>
        <w:t>Digestive Disease Week</w:t>
      </w:r>
      <w:r w:rsidRPr="00B70666">
        <w:rPr>
          <w:rFonts w:asciiTheme="minorHAnsi" w:hAnsiTheme="minorHAnsi" w:cstheme="minorHAnsi"/>
          <w:sz w:val="22"/>
          <w:szCs w:val="22"/>
        </w:rPr>
        <w:t>, May 16-19, 2004. New Orleans, LA. Abstract 104672.</w:t>
      </w:r>
    </w:p>
    <w:p w14:paraId="4E5F4471" w14:textId="77777777" w:rsidR="00EE19B9" w:rsidRPr="00B70666" w:rsidRDefault="00EE19B9" w:rsidP="00EE19B9">
      <w:pPr>
        <w:pStyle w:val="ListParagraph"/>
        <w:rPr>
          <w:rFonts w:asciiTheme="minorHAnsi" w:hAnsiTheme="minorHAnsi" w:cstheme="minorHAnsi"/>
          <w:sz w:val="22"/>
          <w:szCs w:val="22"/>
        </w:rPr>
      </w:pPr>
    </w:p>
    <w:p w14:paraId="2F2F8DCA" w14:textId="77777777" w:rsidR="00EE19B9" w:rsidRPr="00B70666" w:rsidRDefault="00EE19B9" w:rsidP="00EE19B9">
      <w:pPr>
        <w:pStyle w:val="FootnoteText"/>
        <w:rPr>
          <w:rFonts w:asciiTheme="minorHAnsi" w:hAnsiTheme="minorHAnsi" w:cstheme="minorHAnsi"/>
          <w:sz w:val="22"/>
          <w:szCs w:val="22"/>
        </w:rPr>
      </w:pPr>
    </w:p>
    <w:p w14:paraId="7AF58606" w14:textId="7507A5CB" w:rsidR="00EE19B9" w:rsidRPr="00B70666" w:rsidRDefault="00D71F01" w:rsidP="00EE19B9">
      <w:pPr>
        <w:pStyle w:val="ListParagraph"/>
        <w:numPr>
          <w:ilvl w:val="0"/>
          <w:numId w:val="2"/>
        </w:numPr>
        <w:autoSpaceDE w:val="0"/>
        <w:autoSpaceDN w:val="0"/>
        <w:adjustRightInd w:val="0"/>
        <w:rPr>
          <w:rFonts w:asciiTheme="minorHAnsi" w:hAnsiTheme="minorHAnsi" w:cstheme="minorHAnsi"/>
          <w:sz w:val="22"/>
          <w:szCs w:val="22"/>
        </w:rPr>
      </w:pPr>
      <w:r w:rsidRPr="00B70666">
        <w:rPr>
          <w:rFonts w:asciiTheme="minorHAnsi" w:hAnsiTheme="minorHAnsi" w:cstheme="minorHAnsi"/>
          <w:sz w:val="22"/>
          <w:szCs w:val="22"/>
        </w:rPr>
        <w:t xml:space="preserve">O’Donnell S, Stempak J, Steinhart H, Silverberg M. </w:t>
      </w:r>
      <w:r w:rsidR="00EE19B9" w:rsidRPr="00B70666">
        <w:rPr>
          <w:rFonts w:asciiTheme="minorHAnsi" w:hAnsiTheme="minorHAnsi" w:cstheme="minorHAnsi"/>
          <w:sz w:val="22"/>
          <w:szCs w:val="22"/>
        </w:rPr>
        <w:t xml:space="preserve">Higher Rates of Dose Optimisation for Infliximab Responders in Ulcerative Colitis than in Crohn’s disease. </w:t>
      </w:r>
      <w:r w:rsidR="00EE19B9" w:rsidRPr="00B70666">
        <w:rPr>
          <w:rFonts w:asciiTheme="minorHAnsi" w:hAnsiTheme="minorHAnsi" w:cstheme="minorHAnsi"/>
          <w:i/>
          <w:iCs/>
          <w:sz w:val="22"/>
          <w:szCs w:val="22"/>
        </w:rPr>
        <w:t>Journal of Crohn's and Colitis</w:t>
      </w:r>
      <w:r w:rsidR="00EE19B9" w:rsidRPr="00B70666">
        <w:rPr>
          <w:rFonts w:asciiTheme="minorHAnsi" w:hAnsiTheme="minorHAnsi" w:cstheme="minorHAnsi"/>
          <w:sz w:val="22"/>
          <w:szCs w:val="22"/>
        </w:rPr>
        <w:t>, 2015, 830–836</w:t>
      </w:r>
    </w:p>
    <w:p w14:paraId="38237FC7" w14:textId="77777777" w:rsidR="00EE19B9" w:rsidRPr="00B70666" w:rsidRDefault="00EE19B9" w:rsidP="00EE19B9">
      <w:pPr>
        <w:pStyle w:val="ListParagraph"/>
        <w:ind w:left="360"/>
        <w:rPr>
          <w:rFonts w:asciiTheme="minorHAnsi" w:hAnsiTheme="minorHAnsi" w:cstheme="minorHAnsi"/>
          <w:sz w:val="22"/>
          <w:szCs w:val="22"/>
        </w:rPr>
      </w:pPr>
    </w:p>
    <w:p w14:paraId="44E9C8D7" w14:textId="5EFBA816" w:rsidR="00EE19B9" w:rsidRPr="00B70666" w:rsidRDefault="004B3BF8" w:rsidP="00EE19B9">
      <w:pPr>
        <w:pStyle w:val="ListParagraph"/>
        <w:numPr>
          <w:ilvl w:val="0"/>
          <w:numId w:val="2"/>
        </w:numPr>
        <w:shd w:val="clear" w:color="auto" w:fill="FFFFFF"/>
        <w:spacing w:before="240" w:after="120"/>
        <w:outlineLvl w:val="0"/>
        <w:rPr>
          <w:rFonts w:asciiTheme="minorHAnsi" w:hAnsiTheme="minorHAnsi" w:cstheme="minorHAnsi"/>
          <w:kern w:val="36"/>
          <w:sz w:val="22"/>
          <w:szCs w:val="22"/>
          <w:lang w:val="en"/>
        </w:rPr>
      </w:pPr>
      <w:hyperlink r:id="rId11" w:history="1">
        <w:r w:rsidR="00EE19B9" w:rsidRPr="00B70666">
          <w:rPr>
            <w:rStyle w:val="Hyperlink"/>
            <w:rFonts w:asciiTheme="minorHAnsi" w:hAnsiTheme="minorHAnsi" w:cstheme="minorHAnsi"/>
            <w:color w:val="auto"/>
            <w:sz w:val="22"/>
            <w:szCs w:val="22"/>
            <w:u w:val="none"/>
            <w:lang w:val="en"/>
          </w:rPr>
          <w:t>Gisbert JP</w:t>
        </w:r>
      </w:hyperlink>
      <w:r w:rsidR="00EE19B9" w:rsidRPr="00B70666">
        <w:rPr>
          <w:rFonts w:asciiTheme="minorHAnsi" w:hAnsiTheme="minorHAnsi" w:cstheme="minorHAnsi"/>
          <w:sz w:val="22"/>
          <w:szCs w:val="22"/>
          <w:lang w:val="en"/>
        </w:rPr>
        <w:t xml:space="preserve">, </w:t>
      </w:r>
      <w:hyperlink r:id="rId12" w:history="1">
        <w:r w:rsidR="00EE19B9" w:rsidRPr="00B70666">
          <w:rPr>
            <w:rStyle w:val="Hyperlink"/>
            <w:rFonts w:asciiTheme="minorHAnsi" w:hAnsiTheme="minorHAnsi" w:cstheme="minorHAnsi"/>
            <w:color w:val="auto"/>
            <w:sz w:val="22"/>
            <w:szCs w:val="22"/>
            <w:u w:val="none"/>
            <w:lang w:val="en"/>
          </w:rPr>
          <w:t>Panés J</w:t>
        </w:r>
      </w:hyperlink>
      <w:r w:rsidR="00EE19B9" w:rsidRPr="00B70666">
        <w:rPr>
          <w:rFonts w:asciiTheme="minorHAnsi" w:hAnsiTheme="minorHAnsi" w:cstheme="minorHAnsi"/>
          <w:sz w:val="22"/>
          <w:szCs w:val="22"/>
          <w:lang w:val="en"/>
        </w:rPr>
        <w:t>.</w:t>
      </w:r>
      <w:r w:rsidR="002C3C1B" w:rsidRPr="00B70666">
        <w:rPr>
          <w:rFonts w:asciiTheme="minorHAnsi" w:hAnsiTheme="minorHAnsi" w:cstheme="minorHAnsi"/>
          <w:sz w:val="22"/>
          <w:szCs w:val="22"/>
          <w:lang w:val="en"/>
        </w:rPr>
        <w:t xml:space="preserve"> </w:t>
      </w:r>
      <w:r w:rsidR="002C3C1B" w:rsidRPr="00B70666">
        <w:rPr>
          <w:rFonts w:asciiTheme="minorHAnsi" w:hAnsiTheme="minorHAnsi" w:cstheme="minorHAnsi"/>
          <w:kern w:val="36"/>
          <w:sz w:val="22"/>
          <w:szCs w:val="22"/>
          <w:lang w:val="en"/>
        </w:rPr>
        <w:t xml:space="preserve">Loss of response and requirement of infliximab dose intensification in Crohn's disease: a review. </w:t>
      </w:r>
      <w:r w:rsidR="00EE19B9" w:rsidRPr="00B70666">
        <w:rPr>
          <w:rFonts w:asciiTheme="minorHAnsi" w:hAnsiTheme="minorHAnsi" w:cstheme="minorHAnsi"/>
          <w:sz w:val="22"/>
          <w:szCs w:val="22"/>
          <w:lang w:val="en"/>
        </w:rPr>
        <w:t xml:space="preserve"> </w:t>
      </w:r>
      <w:hyperlink r:id="rId13" w:tooltip="The American journal of gastroenterology." w:history="1">
        <w:r w:rsidR="00EE19B9" w:rsidRPr="00B70666">
          <w:rPr>
            <w:rStyle w:val="Hyperlink"/>
            <w:rFonts w:asciiTheme="minorHAnsi" w:hAnsiTheme="minorHAnsi" w:cstheme="minorHAnsi"/>
            <w:color w:val="auto"/>
            <w:sz w:val="22"/>
            <w:szCs w:val="22"/>
            <w:u w:val="none"/>
            <w:lang w:val="en"/>
          </w:rPr>
          <w:t>Am J Gastroenterol.</w:t>
        </w:r>
      </w:hyperlink>
      <w:r w:rsidR="00EE19B9" w:rsidRPr="00B70666">
        <w:rPr>
          <w:rFonts w:asciiTheme="minorHAnsi" w:hAnsiTheme="minorHAnsi" w:cstheme="minorHAnsi"/>
          <w:sz w:val="22"/>
          <w:szCs w:val="22"/>
        </w:rPr>
        <w:t xml:space="preserve"> 2009 Mar;104(3):760-7.</w:t>
      </w:r>
    </w:p>
    <w:p w14:paraId="19023337" w14:textId="77777777" w:rsidR="00707B70" w:rsidRPr="00B70666" w:rsidRDefault="00707B70" w:rsidP="0021439D">
      <w:pPr>
        <w:contextualSpacing/>
        <w:rPr>
          <w:rFonts w:asciiTheme="minorHAnsi" w:hAnsiTheme="minorHAnsi" w:cstheme="minorHAnsi"/>
          <w:color w:val="FF0000"/>
          <w:sz w:val="22"/>
          <w:szCs w:val="22"/>
        </w:rPr>
      </w:pPr>
    </w:p>
    <w:p w14:paraId="596DEFE7" w14:textId="77777777" w:rsidR="001B4D59" w:rsidRPr="001F63BC" w:rsidRDefault="001B4D59">
      <w:pPr>
        <w:rPr>
          <w:rFonts w:ascii="Arial" w:hAnsi="Arial" w:cs="Arial"/>
          <w:sz w:val="22"/>
          <w:szCs w:val="22"/>
        </w:rPr>
      </w:pPr>
    </w:p>
    <w:p w14:paraId="69995685" w14:textId="77777777" w:rsidR="001B4D59" w:rsidRPr="001F63BC" w:rsidRDefault="001B4D59">
      <w:pPr>
        <w:rPr>
          <w:rFonts w:ascii="Arial" w:hAnsi="Arial" w:cs="Arial"/>
          <w:sz w:val="22"/>
          <w:szCs w:val="22"/>
        </w:rPr>
      </w:pPr>
    </w:p>
    <w:p w14:paraId="3A9911D8" w14:textId="77777777" w:rsidR="001B4D59" w:rsidRPr="00580C85" w:rsidRDefault="001B4D59">
      <w:pPr>
        <w:rPr>
          <w:rFonts w:ascii="Arial" w:hAnsi="Arial" w:cs="Arial"/>
          <w:sz w:val="22"/>
          <w:szCs w:val="22"/>
        </w:rPr>
      </w:pPr>
    </w:p>
    <w:p w14:paraId="1D4E6A08" w14:textId="77777777" w:rsidR="001B4D59" w:rsidRPr="00580C85" w:rsidRDefault="001B4D59">
      <w:pPr>
        <w:rPr>
          <w:rFonts w:ascii="Arial" w:hAnsi="Arial" w:cs="Arial"/>
          <w:sz w:val="22"/>
          <w:szCs w:val="22"/>
        </w:rPr>
      </w:pPr>
    </w:p>
    <w:p w14:paraId="64467139" w14:textId="77777777" w:rsidR="001B4D59" w:rsidRPr="00580C85" w:rsidRDefault="001B4D59">
      <w:pPr>
        <w:rPr>
          <w:rFonts w:ascii="Arial" w:hAnsi="Arial" w:cs="Arial"/>
          <w:sz w:val="22"/>
          <w:szCs w:val="22"/>
        </w:rPr>
      </w:pPr>
    </w:p>
    <w:p w14:paraId="7D727A02" w14:textId="77777777" w:rsidR="001B4D59" w:rsidRPr="00580C85" w:rsidRDefault="001B4D59">
      <w:pPr>
        <w:rPr>
          <w:rFonts w:ascii="Arial" w:hAnsi="Arial" w:cs="Arial"/>
          <w:sz w:val="22"/>
          <w:szCs w:val="22"/>
        </w:rPr>
      </w:pPr>
    </w:p>
    <w:p w14:paraId="2BBFAAEB" w14:textId="77777777" w:rsidR="001B4D59" w:rsidRPr="00580C85" w:rsidRDefault="001B4D59">
      <w:pPr>
        <w:rPr>
          <w:rFonts w:ascii="Arial" w:hAnsi="Arial" w:cs="Arial"/>
          <w:sz w:val="22"/>
          <w:szCs w:val="22"/>
        </w:rPr>
      </w:pPr>
    </w:p>
    <w:p w14:paraId="730CCD83" w14:textId="77777777" w:rsidR="001B4D59" w:rsidRPr="00580C85" w:rsidRDefault="001B4D59">
      <w:pPr>
        <w:rPr>
          <w:rFonts w:ascii="Arial" w:hAnsi="Arial" w:cs="Arial"/>
          <w:sz w:val="22"/>
          <w:szCs w:val="22"/>
        </w:rPr>
      </w:pPr>
    </w:p>
    <w:p w14:paraId="4D351A1E" w14:textId="77777777" w:rsidR="001B4D59" w:rsidRPr="00580C85" w:rsidRDefault="001B4D59">
      <w:pPr>
        <w:rPr>
          <w:rFonts w:ascii="Arial" w:hAnsi="Arial" w:cs="Arial"/>
          <w:sz w:val="22"/>
          <w:szCs w:val="22"/>
        </w:rPr>
      </w:pPr>
    </w:p>
    <w:p w14:paraId="0937D0BC" w14:textId="77777777" w:rsidR="001B4D59" w:rsidRPr="00580C85" w:rsidRDefault="001B4D59">
      <w:pPr>
        <w:rPr>
          <w:rFonts w:ascii="Arial" w:hAnsi="Arial" w:cs="Arial"/>
          <w:sz w:val="22"/>
          <w:szCs w:val="22"/>
        </w:rPr>
      </w:pPr>
    </w:p>
    <w:p w14:paraId="3D4F7BFD" w14:textId="77777777" w:rsidR="001B4D59" w:rsidRPr="00580C85" w:rsidRDefault="001B4D59">
      <w:pPr>
        <w:rPr>
          <w:rFonts w:ascii="Arial" w:hAnsi="Arial" w:cs="Arial"/>
          <w:sz w:val="22"/>
          <w:szCs w:val="22"/>
        </w:rPr>
      </w:pPr>
    </w:p>
    <w:p w14:paraId="2D545B86" w14:textId="77777777" w:rsidR="001B4D59" w:rsidRPr="00580C85" w:rsidRDefault="001B4D59">
      <w:pPr>
        <w:rPr>
          <w:rFonts w:ascii="Arial" w:hAnsi="Arial" w:cs="Arial"/>
          <w:sz w:val="22"/>
          <w:szCs w:val="22"/>
        </w:rPr>
      </w:pPr>
    </w:p>
    <w:p w14:paraId="1847E984" w14:textId="77777777" w:rsidR="001B4D59" w:rsidRPr="00580C85" w:rsidRDefault="001B4D59">
      <w:pPr>
        <w:rPr>
          <w:rFonts w:ascii="Arial" w:hAnsi="Arial" w:cs="Arial"/>
          <w:sz w:val="22"/>
          <w:szCs w:val="22"/>
        </w:rPr>
      </w:pPr>
    </w:p>
    <w:p w14:paraId="19D62B85" w14:textId="77777777" w:rsidR="001B4D59" w:rsidRPr="00580C85" w:rsidRDefault="001B4D59">
      <w:pPr>
        <w:rPr>
          <w:rFonts w:ascii="Arial" w:hAnsi="Arial" w:cs="Arial"/>
          <w:i/>
          <w:sz w:val="22"/>
          <w:szCs w:val="22"/>
        </w:rPr>
      </w:pPr>
    </w:p>
    <w:p w14:paraId="4DAC710F" w14:textId="77777777" w:rsidR="001B4D59" w:rsidRPr="00580C85" w:rsidRDefault="001B4D59">
      <w:pPr>
        <w:rPr>
          <w:rFonts w:ascii="Arial" w:hAnsi="Arial" w:cs="Arial"/>
          <w:sz w:val="22"/>
          <w:szCs w:val="22"/>
        </w:rPr>
      </w:pPr>
    </w:p>
    <w:p w14:paraId="6B7A2BC1" w14:textId="77777777" w:rsidR="001B4D59" w:rsidRPr="00580C85" w:rsidRDefault="001B4D59">
      <w:pPr>
        <w:rPr>
          <w:rFonts w:ascii="Arial" w:hAnsi="Arial" w:cs="Arial"/>
          <w:sz w:val="22"/>
          <w:szCs w:val="22"/>
        </w:rPr>
      </w:pPr>
    </w:p>
    <w:p w14:paraId="48ED8D1D" w14:textId="77777777" w:rsidR="001B4D59" w:rsidRPr="00580C85" w:rsidRDefault="001B4D59">
      <w:pPr>
        <w:rPr>
          <w:rFonts w:ascii="Arial" w:hAnsi="Arial" w:cs="Arial"/>
          <w:sz w:val="22"/>
          <w:szCs w:val="22"/>
        </w:rPr>
      </w:pPr>
    </w:p>
    <w:sectPr w:rsidR="001B4D59" w:rsidRPr="00580C85" w:rsidSect="00AF1447">
      <w:footerReference w:type="even" r:id="rId14"/>
      <w:footerReference w:type="default" r:id="rId15"/>
      <w:headerReference w:type="first" r:id="rId16"/>
      <w:foot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692E8" w14:textId="77777777" w:rsidR="004B3BF8" w:rsidRDefault="004B3BF8" w:rsidP="0058799B">
      <w:r>
        <w:separator/>
      </w:r>
    </w:p>
  </w:endnote>
  <w:endnote w:type="continuationSeparator" w:id="0">
    <w:p w14:paraId="049EFFA9" w14:textId="77777777" w:rsidR="004B3BF8" w:rsidRDefault="004B3BF8" w:rsidP="0058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376AF" w14:textId="77777777" w:rsidR="001B4D59" w:rsidRDefault="00A90727" w:rsidP="00AF1447">
    <w:pPr>
      <w:pStyle w:val="Footer"/>
      <w:framePr w:wrap="around" w:vAnchor="text" w:hAnchor="margin" w:xAlign="right" w:y="1"/>
      <w:rPr>
        <w:rStyle w:val="PageNumber"/>
      </w:rPr>
    </w:pPr>
    <w:r>
      <w:rPr>
        <w:rStyle w:val="PageNumber"/>
      </w:rPr>
      <w:fldChar w:fldCharType="begin"/>
    </w:r>
    <w:r w:rsidR="001B4D59">
      <w:rPr>
        <w:rStyle w:val="PageNumber"/>
      </w:rPr>
      <w:instrText xml:space="preserve">PAGE  </w:instrText>
    </w:r>
    <w:r>
      <w:rPr>
        <w:rStyle w:val="PageNumber"/>
      </w:rPr>
      <w:fldChar w:fldCharType="end"/>
    </w:r>
  </w:p>
  <w:p w14:paraId="52BCE1AD" w14:textId="77777777" w:rsidR="001B4D59" w:rsidRDefault="001B4D59" w:rsidP="00AF14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B59C1" w14:textId="77777777" w:rsidR="00B70666" w:rsidRPr="00B70666" w:rsidRDefault="00B70666" w:rsidP="00B70666">
    <w:pPr>
      <w:rPr>
        <w:rFonts w:asciiTheme="minorHAnsi" w:hAnsiTheme="minorHAnsi" w:cstheme="minorHAnsi"/>
        <w:i/>
        <w:iCs/>
        <w:sz w:val="16"/>
        <w:szCs w:val="16"/>
      </w:rPr>
    </w:pPr>
    <w:r w:rsidRPr="00B70666">
      <w:rPr>
        <w:rFonts w:asciiTheme="minorHAnsi" w:hAnsiTheme="minorHAnsi" w:cstheme="minorHAnsi"/>
        <w:i/>
        <w:iCs/>
        <w:sz w:val="16"/>
        <w:szCs w:val="16"/>
      </w:rPr>
      <w:t>Disclaimer: The sample appeal letters available to healthcare providers on the Crohn’s &amp; Colitis Foundation’s website may include use of agents for conditions other than their FDA-approved indications. The Crohn’s &amp; Colitis Foundation does not endorse the use of any specific medication or treatment, including any use which is outside the labeled indication. The Crohn’s &amp; Colitis Foundation provides this resource for informational purposes only. The Crohn’s &amp; Colitis Foundation, its agents, officers, employees, and volunteers shall not be liable for any claims, damages, or actions whatsoever which may arise for the use of this information. (Remove disclaimer prior to submission of recipient)</w:t>
    </w:r>
  </w:p>
  <w:p w14:paraId="175DE5EE" w14:textId="54DF96B2" w:rsidR="003C4C41" w:rsidRDefault="003C4C41">
    <w:pPr>
      <w:pStyle w:val="Footer"/>
    </w:pPr>
  </w:p>
  <w:p w14:paraId="4E3CF817" w14:textId="77777777" w:rsidR="001B4D59" w:rsidRDefault="001B4D59" w:rsidP="00AF144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945C5" w14:textId="77777777" w:rsidR="00B70666" w:rsidRPr="00B70666" w:rsidRDefault="00B70666" w:rsidP="00B70666">
    <w:pPr>
      <w:rPr>
        <w:rFonts w:asciiTheme="minorHAnsi" w:hAnsiTheme="minorHAnsi" w:cstheme="minorHAnsi"/>
        <w:i/>
        <w:iCs/>
        <w:sz w:val="16"/>
        <w:szCs w:val="16"/>
      </w:rPr>
    </w:pPr>
    <w:r w:rsidRPr="00B70666">
      <w:rPr>
        <w:rFonts w:asciiTheme="minorHAnsi" w:hAnsiTheme="minorHAnsi" w:cstheme="minorHAnsi"/>
        <w:i/>
        <w:iCs/>
        <w:sz w:val="16"/>
        <w:szCs w:val="16"/>
      </w:rPr>
      <w:t>Disclaimer: The sample appeal letters available to healthcare providers on the Crohn’s &amp; Colitis Foundation’s website may include use of agents for conditions other than their FDA-approved indications. The Crohn’s &amp; Colitis Foundation does not endorse the use of any specific medication or treatment, including any use which is outside the labeled indication. The Crohn’s &amp; Colitis Foundation provides this resource for informational purposes only. The Crohn’s &amp; Colitis Foundation, its agents, officers, employees, and volunteers shall not be liable for any claims, damages, or actions whatsoever which may arise for the use of this information. (Remove disclaimer prior to submission of recipient)</w:t>
    </w:r>
  </w:p>
  <w:p w14:paraId="5F1C99E9" w14:textId="77777777" w:rsidR="002C3C1B" w:rsidRPr="00B70666" w:rsidRDefault="002C3C1B">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1A814" w14:textId="77777777" w:rsidR="004B3BF8" w:rsidRDefault="004B3BF8" w:rsidP="0058799B">
      <w:r>
        <w:separator/>
      </w:r>
    </w:p>
  </w:footnote>
  <w:footnote w:type="continuationSeparator" w:id="0">
    <w:p w14:paraId="1CEA279A" w14:textId="77777777" w:rsidR="004B3BF8" w:rsidRDefault="004B3BF8" w:rsidP="00587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77FD4" w14:textId="3F74332C" w:rsidR="003B1660" w:rsidRPr="00F7312B" w:rsidRDefault="003B1660" w:rsidP="003B1660">
    <w:pPr>
      <w:widowControl w:val="0"/>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SAMPLE APPEAL LETTER – INFLIXIMAB DOSE ESCALATION</w:t>
    </w:r>
  </w:p>
  <w:p w14:paraId="20E4939A" w14:textId="29114742" w:rsidR="003B1660" w:rsidRDefault="003B1660" w:rsidP="003B1660">
    <w:pPr>
      <w:pStyle w:val="Header"/>
      <w:jc w:val="center"/>
    </w:pPr>
  </w:p>
  <w:p w14:paraId="46D822E9" w14:textId="77777777" w:rsidR="003B1660" w:rsidRDefault="003B1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10AB"/>
    <w:multiLevelType w:val="hybridMultilevel"/>
    <w:tmpl w:val="8A8C95E0"/>
    <w:lvl w:ilvl="0" w:tplc="06949F3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7C1920D4"/>
    <w:multiLevelType w:val="hybridMultilevel"/>
    <w:tmpl w:val="AD74D5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9B"/>
    <w:rsid w:val="00027B97"/>
    <w:rsid w:val="00054158"/>
    <w:rsid w:val="00054F7D"/>
    <w:rsid w:val="00160214"/>
    <w:rsid w:val="001B4D59"/>
    <w:rsid w:val="001F63BC"/>
    <w:rsid w:val="002133E9"/>
    <w:rsid w:val="0021395F"/>
    <w:rsid w:val="0021439D"/>
    <w:rsid w:val="00215E0D"/>
    <w:rsid w:val="00233D6E"/>
    <w:rsid w:val="0024587E"/>
    <w:rsid w:val="002628C1"/>
    <w:rsid w:val="00275815"/>
    <w:rsid w:val="002902C4"/>
    <w:rsid w:val="002C3C1B"/>
    <w:rsid w:val="002F0FC4"/>
    <w:rsid w:val="00300624"/>
    <w:rsid w:val="00354118"/>
    <w:rsid w:val="003B1660"/>
    <w:rsid w:val="003C4C41"/>
    <w:rsid w:val="00433258"/>
    <w:rsid w:val="0046123D"/>
    <w:rsid w:val="004859FC"/>
    <w:rsid w:val="004A7652"/>
    <w:rsid w:val="004B3BF8"/>
    <w:rsid w:val="004D17A9"/>
    <w:rsid w:val="004E2B1D"/>
    <w:rsid w:val="0050747B"/>
    <w:rsid w:val="00555F9C"/>
    <w:rsid w:val="00580C85"/>
    <w:rsid w:val="0058799B"/>
    <w:rsid w:val="00602444"/>
    <w:rsid w:val="006249E8"/>
    <w:rsid w:val="006802A9"/>
    <w:rsid w:val="006A2EFB"/>
    <w:rsid w:val="006A3AB8"/>
    <w:rsid w:val="00707B70"/>
    <w:rsid w:val="0079514B"/>
    <w:rsid w:val="00836E17"/>
    <w:rsid w:val="008B2833"/>
    <w:rsid w:val="008B349A"/>
    <w:rsid w:val="009341C7"/>
    <w:rsid w:val="00936771"/>
    <w:rsid w:val="00965D35"/>
    <w:rsid w:val="00986851"/>
    <w:rsid w:val="009B1535"/>
    <w:rsid w:val="009F38D3"/>
    <w:rsid w:val="00A90727"/>
    <w:rsid w:val="00AA0F64"/>
    <w:rsid w:val="00AF1447"/>
    <w:rsid w:val="00B36134"/>
    <w:rsid w:val="00B70666"/>
    <w:rsid w:val="00B71117"/>
    <w:rsid w:val="00C4789D"/>
    <w:rsid w:val="00C47927"/>
    <w:rsid w:val="00C7579B"/>
    <w:rsid w:val="00C902CE"/>
    <w:rsid w:val="00CA3E15"/>
    <w:rsid w:val="00CC2B71"/>
    <w:rsid w:val="00D71F01"/>
    <w:rsid w:val="00DC00E8"/>
    <w:rsid w:val="00E41C67"/>
    <w:rsid w:val="00EE19B9"/>
    <w:rsid w:val="00F925DC"/>
    <w:rsid w:val="00F93955"/>
    <w:rsid w:val="00FB7E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1AEA07"/>
  <w15:docId w15:val="{0A85317C-A406-49E3-B222-BECA6172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8799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8799B"/>
    <w:rPr>
      <w:sz w:val="20"/>
      <w:szCs w:val="20"/>
    </w:rPr>
  </w:style>
  <w:style w:type="character" w:customStyle="1" w:styleId="FootnoteTextChar">
    <w:name w:val="Footnote Text Char"/>
    <w:basedOn w:val="DefaultParagraphFont"/>
    <w:link w:val="FootnoteText"/>
    <w:uiPriority w:val="99"/>
    <w:semiHidden/>
    <w:locked/>
    <w:rsid w:val="0058799B"/>
    <w:rPr>
      <w:rFonts w:ascii="Times New Roman" w:hAnsi="Times New Roman" w:cs="Times New Roman"/>
      <w:sz w:val="20"/>
      <w:szCs w:val="20"/>
    </w:rPr>
  </w:style>
  <w:style w:type="character" w:styleId="FootnoteReference">
    <w:name w:val="footnote reference"/>
    <w:basedOn w:val="DefaultParagraphFont"/>
    <w:uiPriority w:val="99"/>
    <w:semiHidden/>
    <w:rsid w:val="0058799B"/>
    <w:rPr>
      <w:rFonts w:cs="Times New Roman"/>
      <w:vertAlign w:val="superscript"/>
    </w:rPr>
  </w:style>
  <w:style w:type="paragraph" w:styleId="Footer">
    <w:name w:val="footer"/>
    <w:basedOn w:val="Normal"/>
    <w:link w:val="FooterChar"/>
    <w:uiPriority w:val="99"/>
    <w:rsid w:val="0058799B"/>
    <w:pPr>
      <w:tabs>
        <w:tab w:val="center" w:pos="4320"/>
        <w:tab w:val="right" w:pos="8640"/>
      </w:tabs>
    </w:pPr>
  </w:style>
  <w:style w:type="character" w:customStyle="1" w:styleId="FooterChar">
    <w:name w:val="Footer Char"/>
    <w:basedOn w:val="DefaultParagraphFont"/>
    <w:link w:val="Footer"/>
    <w:uiPriority w:val="99"/>
    <w:locked/>
    <w:rsid w:val="0058799B"/>
    <w:rPr>
      <w:rFonts w:ascii="Times New Roman" w:hAnsi="Times New Roman" w:cs="Times New Roman"/>
      <w:sz w:val="24"/>
      <w:szCs w:val="24"/>
    </w:rPr>
  </w:style>
  <w:style w:type="character" w:styleId="PageNumber">
    <w:name w:val="page number"/>
    <w:basedOn w:val="DefaultParagraphFont"/>
    <w:uiPriority w:val="99"/>
    <w:rsid w:val="0058799B"/>
    <w:rPr>
      <w:rFonts w:cs="Times New Roman"/>
    </w:rPr>
  </w:style>
  <w:style w:type="paragraph" w:styleId="Header">
    <w:name w:val="header"/>
    <w:basedOn w:val="Normal"/>
    <w:link w:val="HeaderChar"/>
    <w:uiPriority w:val="99"/>
    <w:rsid w:val="0058799B"/>
    <w:pPr>
      <w:tabs>
        <w:tab w:val="center" w:pos="4320"/>
        <w:tab w:val="right" w:pos="8640"/>
      </w:tabs>
    </w:pPr>
  </w:style>
  <w:style w:type="character" w:customStyle="1" w:styleId="HeaderChar">
    <w:name w:val="Header Char"/>
    <w:basedOn w:val="DefaultParagraphFont"/>
    <w:link w:val="Header"/>
    <w:uiPriority w:val="99"/>
    <w:locked/>
    <w:rsid w:val="0058799B"/>
    <w:rPr>
      <w:rFonts w:ascii="Times New Roman" w:hAnsi="Times New Roman" w:cs="Times New Roman"/>
      <w:sz w:val="24"/>
      <w:szCs w:val="24"/>
    </w:rPr>
  </w:style>
  <w:style w:type="paragraph" w:styleId="ListParagraph">
    <w:name w:val="List Paragraph"/>
    <w:basedOn w:val="Normal"/>
    <w:uiPriority w:val="99"/>
    <w:qFormat/>
    <w:rsid w:val="00FB7E84"/>
    <w:pPr>
      <w:ind w:left="720"/>
      <w:contextualSpacing/>
    </w:pPr>
  </w:style>
  <w:style w:type="paragraph" w:styleId="EndnoteText">
    <w:name w:val="endnote text"/>
    <w:basedOn w:val="Normal"/>
    <w:link w:val="EndnoteTextChar"/>
    <w:uiPriority w:val="99"/>
    <w:semiHidden/>
    <w:rsid w:val="008B2833"/>
    <w:rPr>
      <w:sz w:val="20"/>
      <w:szCs w:val="20"/>
    </w:rPr>
  </w:style>
  <w:style w:type="character" w:customStyle="1" w:styleId="EndnoteTextChar">
    <w:name w:val="Endnote Text Char"/>
    <w:basedOn w:val="DefaultParagraphFont"/>
    <w:link w:val="EndnoteText"/>
    <w:uiPriority w:val="99"/>
    <w:semiHidden/>
    <w:locked/>
    <w:rsid w:val="008B2833"/>
    <w:rPr>
      <w:rFonts w:ascii="Times New Roman" w:hAnsi="Times New Roman" w:cs="Times New Roman"/>
      <w:sz w:val="20"/>
      <w:szCs w:val="20"/>
    </w:rPr>
  </w:style>
  <w:style w:type="character" w:styleId="EndnoteReference">
    <w:name w:val="endnote reference"/>
    <w:basedOn w:val="DefaultParagraphFont"/>
    <w:uiPriority w:val="99"/>
    <w:semiHidden/>
    <w:rsid w:val="008B2833"/>
    <w:rPr>
      <w:rFonts w:cs="Times New Roman"/>
      <w:vertAlign w:val="superscript"/>
    </w:rPr>
  </w:style>
  <w:style w:type="paragraph" w:styleId="BalloonText">
    <w:name w:val="Balloon Text"/>
    <w:basedOn w:val="Normal"/>
    <w:link w:val="BalloonTextChar"/>
    <w:uiPriority w:val="99"/>
    <w:semiHidden/>
    <w:unhideWhenUsed/>
    <w:rsid w:val="009341C7"/>
    <w:rPr>
      <w:rFonts w:ascii="Tahoma" w:hAnsi="Tahoma" w:cs="Tahoma"/>
      <w:sz w:val="16"/>
      <w:szCs w:val="16"/>
    </w:rPr>
  </w:style>
  <w:style w:type="character" w:customStyle="1" w:styleId="BalloonTextChar">
    <w:name w:val="Balloon Text Char"/>
    <w:basedOn w:val="DefaultParagraphFont"/>
    <w:link w:val="BalloonText"/>
    <w:uiPriority w:val="99"/>
    <w:semiHidden/>
    <w:rsid w:val="009341C7"/>
    <w:rPr>
      <w:rFonts w:ascii="Tahoma" w:eastAsia="Times New Roman" w:hAnsi="Tahoma" w:cs="Tahoma"/>
      <w:sz w:val="16"/>
      <w:szCs w:val="16"/>
    </w:rPr>
  </w:style>
  <w:style w:type="paragraph" w:customStyle="1" w:styleId="Normal0">
    <w:name w:val="[Normal]"/>
    <w:rsid w:val="003B1660"/>
    <w:pPr>
      <w:autoSpaceDE w:val="0"/>
      <w:autoSpaceDN w:val="0"/>
      <w:adjustRightInd w:val="0"/>
    </w:pPr>
    <w:rPr>
      <w:rFonts w:ascii="Arial" w:eastAsia="Times New Roman" w:hAnsi="Arial" w:cs="Arial"/>
      <w:sz w:val="24"/>
      <w:szCs w:val="24"/>
    </w:rPr>
  </w:style>
  <w:style w:type="character" w:styleId="CommentReference">
    <w:name w:val="annotation reference"/>
    <w:basedOn w:val="DefaultParagraphFont"/>
    <w:uiPriority w:val="99"/>
    <w:semiHidden/>
    <w:unhideWhenUsed/>
    <w:rsid w:val="006249E8"/>
    <w:rPr>
      <w:sz w:val="16"/>
      <w:szCs w:val="16"/>
    </w:rPr>
  </w:style>
  <w:style w:type="paragraph" w:styleId="CommentText">
    <w:name w:val="annotation text"/>
    <w:basedOn w:val="Normal"/>
    <w:link w:val="CommentTextChar"/>
    <w:uiPriority w:val="99"/>
    <w:semiHidden/>
    <w:unhideWhenUsed/>
    <w:rsid w:val="006249E8"/>
    <w:rPr>
      <w:sz w:val="20"/>
      <w:szCs w:val="20"/>
    </w:rPr>
  </w:style>
  <w:style w:type="character" w:customStyle="1" w:styleId="CommentTextChar">
    <w:name w:val="Comment Text Char"/>
    <w:basedOn w:val="DefaultParagraphFont"/>
    <w:link w:val="CommentText"/>
    <w:uiPriority w:val="99"/>
    <w:semiHidden/>
    <w:rsid w:val="006249E8"/>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249E8"/>
    <w:rPr>
      <w:b/>
      <w:bCs/>
    </w:rPr>
  </w:style>
  <w:style w:type="character" w:customStyle="1" w:styleId="CommentSubjectChar">
    <w:name w:val="Comment Subject Char"/>
    <w:basedOn w:val="CommentTextChar"/>
    <w:link w:val="CommentSubject"/>
    <w:uiPriority w:val="99"/>
    <w:semiHidden/>
    <w:rsid w:val="006249E8"/>
    <w:rPr>
      <w:rFonts w:ascii="Times New Roman" w:eastAsia="Times New Roman" w:hAnsi="Times New Roman"/>
      <w:b/>
      <w:bCs/>
      <w:sz w:val="20"/>
      <w:szCs w:val="20"/>
    </w:rPr>
  </w:style>
  <w:style w:type="character" w:styleId="Hyperlink">
    <w:name w:val="Hyperlink"/>
    <w:basedOn w:val="DefaultParagraphFont"/>
    <w:uiPriority w:val="99"/>
    <w:semiHidden/>
    <w:unhideWhenUsed/>
    <w:rsid w:val="00EE19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56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bi.nlm.nih.gov/pubmed/1917478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bi.nlm.nih.gov/pubmed/?term=Pan%C3%A9s%20J%5BAuthor%5D&amp;cauthor=true&amp;cauthor_uid=1917478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bi.nlm.nih.gov/pubmed/?term=Gisbert%20JP%5BAuthor%5D&amp;cauthor=true&amp;cauthor_uid=1917478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6D744C5CD6E44BFFEF5E812642879" ma:contentTypeVersion="12" ma:contentTypeDescription="Create a new document." ma:contentTypeScope="" ma:versionID="c42d78f69fc90bdf4213103310fd3b3d">
  <xsd:schema xmlns:xsd="http://www.w3.org/2001/XMLSchema" xmlns:xs="http://www.w3.org/2001/XMLSchema" xmlns:p="http://schemas.microsoft.com/office/2006/metadata/properties" xmlns:ns2="e3daf48a-308e-43de-88ef-ca4f40f3f003" xmlns:ns3="c57fea2e-d146-428a-a2a2-061547110c3f" targetNamespace="http://schemas.microsoft.com/office/2006/metadata/properties" ma:root="true" ma:fieldsID="dca35f9458454f8d71ffb99e15d679a1" ns2:_="" ns3:_="">
    <xsd:import namespace="e3daf48a-308e-43de-88ef-ca4f40f3f003"/>
    <xsd:import namespace="c57fea2e-d146-428a-a2a2-061547110c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af48a-308e-43de-88ef-ca4f40f3f00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7fea2e-d146-428a-a2a2-061547110c3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F5BC8-695E-4067-84AF-CC98B408B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af48a-308e-43de-88ef-ca4f40f3f003"/>
    <ds:schemaRef ds:uri="c57fea2e-d146-428a-a2a2-061547110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618AFB-3F9B-4559-850E-0B6CB3BF81CA}">
  <ds:schemaRefs>
    <ds:schemaRef ds:uri="http://schemas.microsoft.com/sharepoint/v3/contenttype/forms"/>
  </ds:schemaRefs>
</ds:datastoreItem>
</file>

<file path=customXml/itemProps3.xml><?xml version="1.0" encoding="utf-8"?>
<ds:datastoreItem xmlns:ds="http://schemas.openxmlformats.org/officeDocument/2006/customXml" ds:itemID="{E9C70ECB-2A87-44C9-AC77-7C4CC24898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CD69B0-C97E-42B9-BE56-3874ED6B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Jacquelyn Spencer</dc:creator>
  <cp:lastModifiedBy>Alyssa Strauss</cp:lastModifiedBy>
  <cp:revision>3</cp:revision>
  <cp:lastPrinted>2011-02-18T16:23:00Z</cp:lastPrinted>
  <dcterms:created xsi:type="dcterms:W3CDTF">2020-04-07T21:17:00Z</dcterms:created>
  <dcterms:modified xsi:type="dcterms:W3CDTF">2020-04-07T21:18:00Z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0x010100C786D744C5CD6E44BFFEF5E812642879</vt:lpwstr>
  </property>
</Properties>
</file>