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60" w:type="dxa"/>
        <w:tblLayout w:type="fixed"/>
        <w:tblCellMar>
          <w:left w:w="15" w:type="dxa"/>
          <w:right w:w="15" w:type="dxa"/>
        </w:tblCellMar>
        <w:tblLook w:val="0000" w:firstRow="0" w:lastRow="0" w:firstColumn="0" w:lastColumn="0" w:noHBand="0" w:noVBand="0"/>
      </w:tblPr>
      <w:tblGrid>
        <w:gridCol w:w="1245"/>
      </w:tblGrid>
      <w:tr w:rsidR="00AB20BD" w:rsidRPr="00AB20BD" w14:paraId="53CA5594" w14:textId="77777777">
        <w:tc>
          <w:tcPr>
            <w:tcW w:w="1245" w:type="dxa"/>
            <w:tcBorders>
              <w:top w:val="nil"/>
              <w:left w:val="nil"/>
              <w:bottom w:val="nil"/>
              <w:right w:val="nil"/>
            </w:tcBorders>
            <w:tcMar>
              <w:top w:w="0" w:type="dxa"/>
              <w:left w:w="15" w:type="dxa"/>
              <w:bottom w:w="0" w:type="dxa"/>
              <w:right w:w="15" w:type="dxa"/>
            </w:tcMar>
          </w:tcPr>
          <w:p w14:paraId="44643822" w14:textId="77777777" w:rsidR="00AB20BD" w:rsidRPr="00AB20BD" w:rsidRDefault="00AB20BD" w:rsidP="00AB20BD">
            <w:pPr>
              <w:autoSpaceDE w:val="0"/>
              <w:autoSpaceDN w:val="0"/>
              <w:adjustRightInd w:val="0"/>
              <w:spacing w:after="0" w:line="240" w:lineRule="auto"/>
              <w:rPr>
                <w:rFonts w:ascii="Arial" w:eastAsia="Times New Roman" w:hAnsi="Arial" w:cs="Arial"/>
              </w:rPr>
            </w:pPr>
          </w:p>
        </w:tc>
      </w:tr>
    </w:tbl>
    <w:p w14:paraId="42EEE63C" w14:textId="77777777" w:rsidR="00AB20BD" w:rsidRPr="00AB20BD" w:rsidRDefault="00AB20BD" w:rsidP="00AB20BD">
      <w:pPr>
        <w:autoSpaceDE w:val="0"/>
        <w:autoSpaceDN w:val="0"/>
        <w:adjustRightInd w:val="0"/>
        <w:spacing w:after="0" w:line="240" w:lineRule="auto"/>
        <w:rPr>
          <w:rFonts w:ascii="Arial" w:eastAsia="Times New Roman" w:hAnsi="Arial" w:cs="Arial"/>
        </w:rPr>
      </w:pPr>
    </w:p>
    <w:p w14:paraId="620357C6" w14:textId="77777777" w:rsidR="00AB20BD" w:rsidRPr="00AB20BD" w:rsidRDefault="00AB20BD" w:rsidP="00AB20BD">
      <w:pPr>
        <w:autoSpaceDE w:val="0"/>
        <w:autoSpaceDN w:val="0"/>
        <w:adjustRightInd w:val="0"/>
        <w:spacing w:after="0" w:line="240" w:lineRule="auto"/>
        <w:rPr>
          <w:rFonts w:ascii="Arial" w:eastAsia="Times New Roman" w:hAnsi="Arial" w:cs="Arial"/>
        </w:rPr>
      </w:pPr>
    </w:p>
    <w:p w14:paraId="70D8C28A" w14:textId="20EAB0E7" w:rsidR="003329C5" w:rsidRDefault="003329C5" w:rsidP="003329C5">
      <w:pPr>
        <w:jc w:val="center"/>
        <w:rPr>
          <w:rFonts w:ascii="Calibri" w:hAnsi="Calibri" w:cs="Calibri"/>
        </w:rPr>
      </w:pPr>
      <w:r>
        <w:rPr>
          <w:rFonts w:ascii="Calibri" w:hAnsi="Calibri" w:cs="Calibri"/>
        </w:rPr>
        <w:t>SAMPLE APPEAL LETTER – TOFACITINIB DOSE ESCALATION</w:t>
      </w:r>
    </w:p>
    <w:p w14:paraId="46AC288F" w14:textId="77777777" w:rsidR="003329C5" w:rsidRDefault="003329C5" w:rsidP="003329C5">
      <w:pPr>
        <w:rPr>
          <w:rFonts w:ascii="Calibri" w:hAnsi="Calibri" w:cs="Calibri"/>
        </w:rPr>
      </w:pPr>
    </w:p>
    <w:p w14:paraId="559CDCAD" w14:textId="77777777" w:rsidR="003329C5" w:rsidRDefault="003329C5" w:rsidP="003329C5">
      <w:pPr>
        <w:rPr>
          <w:rFonts w:ascii="Calibri" w:hAnsi="Calibri" w:cs="Calibri"/>
          <w:color w:val="FF0000"/>
        </w:rPr>
      </w:pPr>
      <w:r>
        <w:rPr>
          <w:rFonts w:ascii="Calibri" w:hAnsi="Calibri" w:cs="Calibri"/>
          <w:color w:val="FF0000"/>
        </w:rPr>
        <w:t>Insurance Company</w:t>
      </w:r>
    </w:p>
    <w:p w14:paraId="7DCAB3CF" w14:textId="77777777" w:rsidR="003329C5" w:rsidRDefault="003329C5" w:rsidP="003329C5">
      <w:pPr>
        <w:pStyle w:val="Heading1"/>
        <w:rPr>
          <w:rFonts w:ascii="Calibri" w:hAnsi="Calibri" w:cs="Calibri"/>
          <w:color w:val="FF0000"/>
          <w:sz w:val="22"/>
          <w:szCs w:val="22"/>
        </w:rPr>
      </w:pPr>
      <w:r>
        <w:rPr>
          <w:rFonts w:ascii="Calibri" w:hAnsi="Calibri" w:cs="Calibri"/>
          <w:color w:val="FF0000"/>
          <w:sz w:val="22"/>
          <w:szCs w:val="22"/>
        </w:rPr>
        <w:t>RE:  PATIENT</w:t>
      </w:r>
    </w:p>
    <w:p w14:paraId="6460F9AB" w14:textId="77777777" w:rsidR="003329C5" w:rsidRDefault="003329C5" w:rsidP="003329C5">
      <w:pPr>
        <w:spacing w:after="0"/>
        <w:rPr>
          <w:rFonts w:ascii="Calibri" w:hAnsi="Calibri" w:cs="Calibri"/>
          <w:b/>
          <w:bCs/>
          <w:color w:val="FF0000"/>
        </w:rPr>
      </w:pPr>
      <w:r>
        <w:rPr>
          <w:rFonts w:ascii="Calibri" w:hAnsi="Calibri" w:cs="Calibri"/>
          <w:b/>
          <w:bCs/>
          <w:color w:val="FF0000"/>
        </w:rPr>
        <w:t xml:space="preserve">DOB: </w:t>
      </w:r>
    </w:p>
    <w:p w14:paraId="7756FD7E" w14:textId="77777777" w:rsidR="003329C5" w:rsidRDefault="003329C5" w:rsidP="003329C5">
      <w:pPr>
        <w:spacing w:after="0"/>
        <w:rPr>
          <w:rFonts w:ascii="Calibri" w:hAnsi="Calibri" w:cs="Calibri"/>
          <w:b/>
          <w:bCs/>
          <w:color w:val="FF0000"/>
        </w:rPr>
      </w:pPr>
      <w:r>
        <w:rPr>
          <w:rFonts w:ascii="Calibri" w:hAnsi="Calibri" w:cs="Calibri"/>
          <w:b/>
          <w:bCs/>
          <w:color w:val="FF0000"/>
        </w:rPr>
        <w:t>ID #</w:t>
      </w:r>
    </w:p>
    <w:p w14:paraId="5F47CBF3" w14:textId="77777777" w:rsidR="003329C5" w:rsidRDefault="003329C5" w:rsidP="003329C5">
      <w:pPr>
        <w:spacing w:after="0"/>
        <w:rPr>
          <w:rFonts w:ascii="Calibri" w:hAnsi="Calibri" w:cs="Calibri"/>
          <w:color w:val="FF0000"/>
        </w:rPr>
      </w:pPr>
      <w:r>
        <w:rPr>
          <w:rFonts w:ascii="Calibri" w:hAnsi="Calibri" w:cs="Calibri"/>
          <w:b/>
          <w:bCs/>
          <w:color w:val="FF0000"/>
        </w:rPr>
        <w:t>Pat Acct #</w:t>
      </w:r>
    </w:p>
    <w:p w14:paraId="606808CF" w14:textId="77777777" w:rsidR="003329C5" w:rsidRDefault="003329C5" w:rsidP="003329C5">
      <w:pPr>
        <w:rPr>
          <w:rFonts w:ascii="Calibri" w:hAnsi="Calibri" w:cs="Calibri"/>
          <w:color w:val="FF0000"/>
        </w:rPr>
      </w:pPr>
    </w:p>
    <w:p w14:paraId="1226DDBF" w14:textId="77777777" w:rsidR="003329C5" w:rsidRDefault="003329C5" w:rsidP="003329C5">
      <w:pPr>
        <w:rPr>
          <w:rFonts w:ascii="Calibri" w:hAnsi="Calibri" w:cs="Calibri"/>
          <w:color w:val="FF0000"/>
        </w:rPr>
      </w:pPr>
      <w:r>
        <w:rPr>
          <w:rFonts w:ascii="Calibri" w:hAnsi="Calibri" w:cs="Calibri"/>
          <w:color w:val="FF0000"/>
        </w:rPr>
        <w:t>DATE</w:t>
      </w:r>
    </w:p>
    <w:p w14:paraId="7815951E" w14:textId="77777777" w:rsidR="003329C5" w:rsidRDefault="003329C5" w:rsidP="003329C5">
      <w:pPr>
        <w:contextualSpacing/>
        <w:rPr>
          <w:rFonts w:ascii="Calibri" w:hAnsi="Calibri" w:cs="Calibri"/>
        </w:rPr>
      </w:pPr>
    </w:p>
    <w:p w14:paraId="6F068A98" w14:textId="77777777" w:rsidR="003329C5" w:rsidRDefault="003329C5" w:rsidP="003329C5">
      <w:pPr>
        <w:contextualSpacing/>
        <w:rPr>
          <w:rFonts w:ascii="Calibri" w:hAnsi="Calibri" w:cs="Calibri"/>
        </w:rPr>
      </w:pPr>
      <w:r>
        <w:rPr>
          <w:rFonts w:ascii="Calibri" w:hAnsi="Calibri" w:cs="Calibri"/>
        </w:rPr>
        <w:t>Dear Sir, or Madam:</w:t>
      </w:r>
    </w:p>
    <w:p w14:paraId="5913704F" w14:textId="77777777" w:rsidR="003329C5" w:rsidRDefault="003329C5" w:rsidP="00AB20BD">
      <w:pPr>
        <w:autoSpaceDE w:val="0"/>
        <w:autoSpaceDN w:val="0"/>
        <w:adjustRightInd w:val="0"/>
        <w:spacing w:after="0" w:line="240" w:lineRule="auto"/>
        <w:rPr>
          <w:rFonts w:ascii="Arial" w:eastAsia="Times New Roman" w:hAnsi="Arial" w:cs="Arial"/>
          <w:color w:val="FF0000"/>
        </w:rPr>
      </w:pPr>
    </w:p>
    <w:p w14:paraId="63FAE771" w14:textId="77777777" w:rsidR="00AB20BD" w:rsidRPr="00AB20BD" w:rsidRDefault="00AB20BD" w:rsidP="00AC4F7A">
      <w:pPr>
        <w:autoSpaceDE w:val="0"/>
        <w:autoSpaceDN w:val="0"/>
        <w:adjustRightInd w:val="0"/>
        <w:spacing w:after="0" w:line="240" w:lineRule="auto"/>
        <w:contextualSpacing/>
        <w:jc w:val="both"/>
        <w:rPr>
          <w:rFonts w:ascii="Arial" w:eastAsia="Times New Roman" w:hAnsi="Arial" w:cs="Arial"/>
          <w:color w:val="000000"/>
          <w:szCs w:val="24"/>
        </w:rPr>
      </w:pPr>
    </w:p>
    <w:p w14:paraId="2B8DC965" w14:textId="788C8A9E" w:rsidR="00561040" w:rsidRPr="000B7E77" w:rsidRDefault="00AB20BD" w:rsidP="00AC4F7A">
      <w:pPr>
        <w:autoSpaceDE w:val="0"/>
        <w:autoSpaceDN w:val="0"/>
        <w:adjustRightInd w:val="0"/>
        <w:spacing w:after="0" w:line="240" w:lineRule="auto"/>
        <w:contextualSpacing/>
        <w:jc w:val="both"/>
        <w:rPr>
          <w:rFonts w:ascii="Arial" w:eastAsia="Times New Roman" w:hAnsi="Arial" w:cs="Arial"/>
          <w:color w:val="FF0000"/>
          <w:szCs w:val="24"/>
        </w:rPr>
      </w:pPr>
      <w:r w:rsidRPr="00AB20BD">
        <w:rPr>
          <w:rFonts w:ascii="Arial" w:eastAsia="Times New Roman" w:hAnsi="Arial" w:cs="Arial"/>
          <w:color w:val="000000"/>
          <w:szCs w:val="24"/>
        </w:rPr>
        <w:t xml:space="preserve">I am writing on behalf of </w:t>
      </w:r>
      <w:r w:rsidR="00A347BB">
        <w:rPr>
          <w:rFonts w:ascii="Arial" w:eastAsia="Times New Roman" w:hAnsi="Arial" w:cs="Arial"/>
          <w:color w:val="FF0000"/>
          <w:szCs w:val="24"/>
        </w:rPr>
        <w:t>PATIENT NAME</w:t>
      </w:r>
      <w:r w:rsidR="00561040" w:rsidRPr="00A347BB">
        <w:rPr>
          <w:rFonts w:ascii="Arial" w:eastAsia="Times New Roman" w:hAnsi="Arial" w:cs="Arial"/>
          <w:color w:val="FF0000"/>
          <w:szCs w:val="24"/>
        </w:rPr>
        <w:t xml:space="preserve"> </w:t>
      </w:r>
      <w:r w:rsidRPr="00AB20BD">
        <w:rPr>
          <w:rFonts w:ascii="Arial" w:eastAsia="Times New Roman" w:hAnsi="Arial" w:cs="Arial"/>
          <w:color w:val="000000"/>
          <w:szCs w:val="24"/>
        </w:rPr>
        <w:t xml:space="preserve">to </w:t>
      </w:r>
      <w:r w:rsidR="000434BA">
        <w:rPr>
          <w:rFonts w:ascii="Arial" w:eastAsia="Times New Roman" w:hAnsi="Arial" w:cs="Arial"/>
          <w:color w:val="000000"/>
          <w:szCs w:val="24"/>
        </w:rPr>
        <w:t xml:space="preserve">appeal the denied coverage of tofacitinib 10 mg twice a day. </w:t>
      </w:r>
      <w:r>
        <w:rPr>
          <w:rFonts w:ascii="Arial" w:eastAsia="Times New Roman" w:hAnsi="Arial" w:cs="Arial"/>
          <w:color w:val="000000"/>
          <w:szCs w:val="24"/>
        </w:rPr>
        <w:t xml:space="preserve"> </w:t>
      </w:r>
      <w:r w:rsidR="001B5EA7">
        <w:rPr>
          <w:rFonts w:ascii="Arial" w:eastAsia="Times New Roman" w:hAnsi="Arial" w:cs="Arial"/>
          <w:color w:val="000000"/>
          <w:szCs w:val="24"/>
        </w:rPr>
        <w:t xml:space="preserve">The initial request was denied due to </w:t>
      </w:r>
      <w:r w:rsidR="001B5EA7" w:rsidRPr="000B7E77">
        <w:rPr>
          <w:rFonts w:ascii="Arial" w:eastAsia="Times New Roman" w:hAnsi="Arial" w:cs="Arial"/>
          <w:color w:val="FF0000"/>
          <w:szCs w:val="24"/>
        </w:rPr>
        <w:t>“</w:t>
      </w:r>
      <w:r w:rsidR="00F77396">
        <w:rPr>
          <w:rFonts w:ascii="Arial" w:eastAsia="Times New Roman" w:hAnsi="Arial" w:cs="Arial"/>
          <w:color w:val="FF0000"/>
          <w:szCs w:val="24"/>
        </w:rPr>
        <w:t>XXX</w:t>
      </w:r>
      <w:r w:rsidR="001B5EA7" w:rsidRPr="000B7E77">
        <w:rPr>
          <w:rFonts w:ascii="Arial" w:eastAsia="Times New Roman" w:hAnsi="Arial" w:cs="Arial"/>
          <w:color w:val="FF0000"/>
          <w:szCs w:val="24"/>
        </w:rPr>
        <w:t>.”</w:t>
      </w:r>
    </w:p>
    <w:p w14:paraId="7973FE61" w14:textId="77777777" w:rsidR="00AB20BD" w:rsidRDefault="00AB20BD" w:rsidP="00AC4F7A">
      <w:pPr>
        <w:autoSpaceDE w:val="0"/>
        <w:autoSpaceDN w:val="0"/>
        <w:adjustRightInd w:val="0"/>
        <w:spacing w:after="0" w:line="240" w:lineRule="auto"/>
        <w:contextualSpacing/>
        <w:jc w:val="both"/>
        <w:rPr>
          <w:rFonts w:ascii="Arial" w:eastAsia="Times New Roman" w:hAnsi="Arial" w:cs="Arial"/>
          <w:color w:val="000000"/>
          <w:szCs w:val="24"/>
        </w:rPr>
      </w:pPr>
    </w:p>
    <w:p w14:paraId="71F2D582" w14:textId="77777777" w:rsidR="00243375" w:rsidRDefault="00A347BB" w:rsidP="00AC4F7A">
      <w:pPr>
        <w:autoSpaceDE w:val="0"/>
        <w:autoSpaceDN w:val="0"/>
        <w:adjustRightInd w:val="0"/>
        <w:spacing w:after="0" w:line="240" w:lineRule="auto"/>
        <w:contextualSpacing/>
        <w:jc w:val="both"/>
        <w:rPr>
          <w:rFonts w:ascii="Arial" w:eastAsia="Times New Roman" w:hAnsi="Arial" w:cs="Arial"/>
          <w:color w:val="FF0000"/>
          <w:szCs w:val="24"/>
        </w:rPr>
      </w:pPr>
      <w:r>
        <w:rPr>
          <w:rFonts w:ascii="Arial" w:eastAsia="Times New Roman" w:hAnsi="Arial" w:cs="Arial"/>
          <w:color w:val="FF0000"/>
          <w:szCs w:val="24"/>
        </w:rPr>
        <w:t>PROVIDE INFORMATION ABOUT PATIENT</w:t>
      </w:r>
    </w:p>
    <w:p w14:paraId="0BF5C940" w14:textId="77777777" w:rsidR="00A347BB" w:rsidRDefault="00A347BB" w:rsidP="00A347BB">
      <w:pPr>
        <w:pStyle w:val="ListParagraph"/>
        <w:numPr>
          <w:ilvl w:val="0"/>
          <w:numId w:val="3"/>
        </w:numPr>
        <w:autoSpaceDE w:val="0"/>
        <w:autoSpaceDN w:val="0"/>
        <w:adjustRightInd w:val="0"/>
        <w:spacing w:after="0" w:line="240" w:lineRule="auto"/>
        <w:jc w:val="both"/>
        <w:rPr>
          <w:rFonts w:ascii="Arial" w:eastAsia="Times New Roman" w:hAnsi="Arial" w:cs="Arial"/>
          <w:color w:val="FF0000"/>
          <w:szCs w:val="24"/>
        </w:rPr>
      </w:pPr>
      <w:r>
        <w:rPr>
          <w:rFonts w:ascii="Arial" w:eastAsia="Times New Roman" w:hAnsi="Arial" w:cs="Arial"/>
          <w:color w:val="FF0000"/>
          <w:szCs w:val="24"/>
        </w:rPr>
        <w:t>DIAGNOSIS, YEAR DIAGNOSED</w:t>
      </w:r>
    </w:p>
    <w:p w14:paraId="6F365AD0" w14:textId="77777777" w:rsidR="00A347BB" w:rsidRDefault="00A347BB" w:rsidP="00A347BB">
      <w:pPr>
        <w:pStyle w:val="ListParagraph"/>
        <w:numPr>
          <w:ilvl w:val="0"/>
          <w:numId w:val="3"/>
        </w:numPr>
        <w:autoSpaceDE w:val="0"/>
        <w:autoSpaceDN w:val="0"/>
        <w:adjustRightInd w:val="0"/>
        <w:spacing w:after="0" w:line="240" w:lineRule="auto"/>
        <w:jc w:val="both"/>
        <w:rPr>
          <w:rFonts w:ascii="Arial" w:eastAsia="Times New Roman" w:hAnsi="Arial" w:cs="Arial"/>
          <w:color w:val="FF0000"/>
          <w:szCs w:val="24"/>
        </w:rPr>
      </w:pPr>
      <w:r>
        <w:rPr>
          <w:rFonts w:ascii="Arial" w:eastAsia="Times New Roman" w:hAnsi="Arial" w:cs="Arial"/>
          <w:color w:val="FF0000"/>
          <w:szCs w:val="24"/>
        </w:rPr>
        <w:t>PRIOR TREATMENTS TRIED AND WHY TREATMENT DID NOT WORK</w:t>
      </w:r>
    </w:p>
    <w:p w14:paraId="73CF2AC4" w14:textId="42AEBEF8" w:rsidR="00C22192" w:rsidRDefault="001B5EA7" w:rsidP="001B5EA7">
      <w:pPr>
        <w:pStyle w:val="ListParagraph"/>
        <w:numPr>
          <w:ilvl w:val="0"/>
          <w:numId w:val="3"/>
        </w:numPr>
        <w:autoSpaceDE w:val="0"/>
        <w:autoSpaceDN w:val="0"/>
        <w:adjustRightInd w:val="0"/>
        <w:spacing w:after="0" w:line="240" w:lineRule="auto"/>
        <w:jc w:val="both"/>
        <w:rPr>
          <w:rFonts w:ascii="Arial" w:eastAsia="Times New Roman" w:hAnsi="Arial" w:cs="Arial"/>
          <w:color w:val="FF0000"/>
          <w:szCs w:val="24"/>
        </w:rPr>
      </w:pPr>
      <w:r>
        <w:rPr>
          <w:rFonts w:ascii="Arial" w:eastAsia="Times New Roman" w:hAnsi="Arial" w:cs="Arial"/>
          <w:color w:val="FF0000"/>
          <w:szCs w:val="24"/>
        </w:rPr>
        <w:t xml:space="preserve">DOCUMENTATION OF CLINICAL OR ENDOSCOPIC REMISSION ON </w:t>
      </w:r>
      <w:r w:rsidR="000434BA">
        <w:rPr>
          <w:rFonts w:ascii="Arial" w:eastAsia="Times New Roman" w:hAnsi="Arial" w:cs="Arial"/>
          <w:color w:val="FF0000"/>
          <w:szCs w:val="24"/>
        </w:rPr>
        <w:t>TOFACITINIB</w:t>
      </w:r>
      <w:r>
        <w:rPr>
          <w:rFonts w:ascii="Arial" w:eastAsia="Times New Roman" w:hAnsi="Arial" w:cs="Arial"/>
          <w:color w:val="FF0000"/>
          <w:szCs w:val="24"/>
        </w:rPr>
        <w:t>10 MG BID</w:t>
      </w:r>
    </w:p>
    <w:p w14:paraId="4A8E4CBF" w14:textId="77777777" w:rsidR="00C22192" w:rsidRDefault="00C22192" w:rsidP="00C22192">
      <w:pPr>
        <w:autoSpaceDE w:val="0"/>
        <w:autoSpaceDN w:val="0"/>
        <w:adjustRightInd w:val="0"/>
        <w:spacing w:after="0" w:line="240" w:lineRule="auto"/>
        <w:jc w:val="both"/>
        <w:rPr>
          <w:rFonts w:ascii="Arial" w:eastAsia="Times New Roman" w:hAnsi="Arial" w:cs="Arial"/>
          <w:color w:val="FF0000"/>
          <w:szCs w:val="24"/>
        </w:rPr>
      </w:pPr>
    </w:p>
    <w:p w14:paraId="418F5F9A" w14:textId="1FB70424" w:rsidR="00301226" w:rsidRDefault="00301226" w:rsidP="00C22192">
      <w:pPr>
        <w:autoSpaceDE w:val="0"/>
        <w:autoSpaceDN w:val="0"/>
        <w:adjustRightInd w:val="0"/>
        <w:spacing w:after="0" w:line="240" w:lineRule="auto"/>
        <w:jc w:val="both"/>
        <w:rPr>
          <w:rFonts w:ascii="Arial" w:eastAsia="Times New Roman" w:hAnsi="Arial" w:cs="Arial"/>
          <w:color w:val="FF0000"/>
          <w:szCs w:val="24"/>
        </w:rPr>
      </w:pPr>
    </w:p>
    <w:p w14:paraId="1217F79F" w14:textId="371568B0" w:rsidR="000434BA" w:rsidRPr="00807E61" w:rsidRDefault="000434BA" w:rsidP="001B5EA7">
      <w:pPr>
        <w:autoSpaceDE w:val="0"/>
        <w:autoSpaceDN w:val="0"/>
        <w:adjustRightInd w:val="0"/>
        <w:spacing w:after="0" w:line="240" w:lineRule="auto"/>
        <w:contextualSpacing/>
        <w:rPr>
          <w:rFonts w:ascii="Arial" w:eastAsia="Times New Roman" w:hAnsi="Arial" w:cs="Arial"/>
          <w:bCs/>
          <w:color w:val="000000"/>
          <w:szCs w:val="24"/>
        </w:rPr>
      </w:pPr>
      <w:r>
        <w:rPr>
          <w:rFonts w:ascii="Arial" w:eastAsia="Times New Roman" w:hAnsi="Arial" w:cs="Arial"/>
          <w:bCs/>
          <w:color w:val="000000"/>
          <w:szCs w:val="24"/>
        </w:rPr>
        <w:t xml:space="preserve">While tofacitinib 10mg twice a day is approved for induction, with the recommendation to transition to 5mg twice a day for maintenance, this patient is a multi-drug refractory patient who is in endoscopic and histologic remission on the higher does. Risks and benefits of this drug </w:t>
      </w:r>
      <w:r w:rsidR="004C3C59">
        <w:rPr>
          <w:rFonts w:ascii="Arial" w:eastAsia="Times New Roman" w:hAnsi="Arial" w:cs="Arial"/>
          <w:bCs/>
          <w:color w:val="000000"/>
          <w:szCs w:val="24"/>
        </w:rPr>
        <w:t xml:space="preserve">have been thoroughly discussed and there is significant concern that dose de-escalation to 5mg twice a day could lead to disease worsening, loss of response and inability to recover response or remission when increasing the dose back up. The FDA has not mandated that patients reduce tofacitinib to twice daily, but rather suggests that the lowest effective dose is used. Tofacitinib 10mg twice a day is the lowest effective dose </w:t>
      </w:r>
      <w:proofErr w:type="gramStart"/>
      <w:r w:rsidR="004C3C59">
        <w:rPr>
          <w:rFonts w:ascii="Arial" w:eastAsia="Times New Roman" w:hAnsi="Arial" w:cs="Arial"/>
          <w:bCs/>
          <w:color w:val="000000"/>
          <w:szCs w:val="24"/>
        </w:rPr>
        <w:t>at this time</w:t>
      </w:r>
      <w:proofErr w:type="gramEnd"/>
      <w:r w:rsidR="004C3C59">
        <w:rPr>
          <w:rFonts w:ascii="Arial" w:eastAsia="Times New Roman" w:hAnsi="Arial" w:cs="Arial"/>
          <w:bCs/>
          <w:color w:val="000000"/>
          <w:szCs w:val="24"/>
        </w:rPr>
        <w:t>.</w:t>
      </w:r>
    </w:p>
    <w:p w14:paraId="24350D7A" w14:textId="77777777" w:rsidR="005C58F9" w:rsidRDefault="005C58F9" w:rsidP="001B5EA7">
      <w:pPr>
        <w:autoSpaceDE w:val="0"/>
        <w:autoSpaceDN w:val="0"/>
        <w:adjustRightInd w:val="0"/>
        <w:spacing w:after="0" w:line="240" w:lineRule="auto"/>
        <w:contextualSpacing/>
        <w:rPr>
          <w:rFonts w:ascii="Arial" w:eastAsia="Times New Roman" w:hAnsi="Arial" w:cs="Arial"/>
          <w:b/>
          <w:color w:val="000000"/>
          <w:szCs w:val="24"/>
        </w:rPr>
      </w:pPr>
    </w:p>
    <w:p w14:paraId="431D3257" w14:textId="49D77440" w:rsidR="004C3C59" w:rsidRDefault="004C3C59" w:rsidP="004C3C59">
      <w:pPr>
        <w:autoSpaceDE w:val="0"/>
        <w:autoSpaceDN w:val="0"/>
        <w:adjustRightInd w:val="0"/>
        <w:spacing w:after="0" w:line="240" w:lineRule="auto"/>
        <w:contextualSpacing/>
        <w:rPr>
          <w:rFonts w:ascii="Arial" w:eastAsia="Times New Roman" w:hAnsi="Arial" w:cs="Arial"/>
          <w:color w:val="000000"/>
          <w:szCs w:val="24"/>
        </w:rPr>
      </w:pPr>
      <w:r>
        <w:rPr>
          <w:rFonts w:ascii="Arial" w:eastAsia="Times New Roman" w:hAnsi="Arial" w:cs="Arial"/>
          <w:color w:val="000000"/>
          <w:szCs w:val="24"/>
        </w:rPr>
        <w:lastRenderedPageBreak/>
        <w:t xml:space="preserve">There is evidence that dose de-escalation is not appropriate for every patient. The OCTAVE Open trial (an ongoing, open label, long-term extension of the Phase 3 trials) examined the response to tofacitinib dose escalation to 5 mg twice daily after maintaining remission at week 52 on 10 mg twice daily. The study also examined patients who lost response to 5mg twice daily and their rate of recapture after increasing the dose back up to 10 mg twice daily. While most patients in remission on 10 mg twice daily maintained remission after decreasing the dose, </w:t>
      </w:r>
      <w:r>
        <w:rPr>
          <w:rFonts w:ascii="Arial" w:eastAsia="Times New Roman" w:hAnsi="Arial" w:cs="Arial"/>
          <w:b/>
          <w:bCs/>
          <w:color w:val="000000"/>
          <w:szCs w:val="24"/>
        </w:rPr>
        <w:t xml:space="preserve">25.4% lost remission by month 12. </w:t>
      </w:r>
      <w:r>
        <w:rPr>
          <w:rFonts w:ascii="Arial" w:eastAsia="Times New Roman" w:hAnsi="Arial" w:cs="Arial"/>
          <w:color w:val="000000"/>
          <w:szCs w:val="24"/>
        </w:rPr>
        <w:t xml:space="preserve">Furthermore, in the other study arm of patients who lost response to 5mg twice daily, </w:t>
      </w:r>
      <w:r>
        <w:rPr>
          <w:rFonts w:ascii="Arial" w:eastAsia="Times New Roman" w:hAnsi="Arial" w:cs="Arial"/>
          <w:b/>
          <w:bCs/>
          <w:color w:val="000000"/>
          <w:szCs w:val="24"/>
        </w:rPr>
        <w:t>only 49.1% were able to achieve remission after increasing the dose again.</w:t>
      </w:r>
      <w:r>
        <w:rPr>
          <w:rFonts w:ascii="Arial" w:eastAsia="Times New Roman" w:hAnsi="Arial" w:cs="Arial"/>
          <w:color w:val="000000"/>
          <w:szCs w:val="24"/>
        </w:rPr>
        <w:t xml:space="preserve"> This represents a significant number of patients unable to recapture response despite escalation back to 10mg twice daily</w:t>
      </w:r>
      <w:r w:rsidR="000E72A1">
        <w:rPr>
          <w:rFonts w:ascii="Arial" w:eastAsia="Times New Roman" w:hAnsi="Arial" w:cs="Arial"/>
          <w:color w:val="000000"/>
          <w:szCs w:val="24"/>
          <w:vertAlign w:val="superscript"/>
        </w:rPr>
        <w:t>1</w:t>
      </w:r>
    </w:p>
    <w:p w14:paraId="17D78BDC" w14:textId="77777777" w:rsidR="004C3C59" w:rsidRDefault="004C3C59" w:rsidP="001B5EA7">
      <w:pPr>
        <w:autoSpaceDE w:val="0"/>
        <w:autoSpaceDN w:val="0"/>
        <w:adjustRightInd w:val="0"/>
        <w:spacing w:after="0" w:line="240" w:lineRule="auto"/>
        <w:contextualSpacing/>
        <w:rPr>
          <w:rFonts w:ascii="Arial" w:eastAsia="Times New Roman" w:hAnsi="Arial" w:cs="Arial"/>
          <w:color w:val="000000"/>
          <w:szCs w:val="24"/>
        </w:rPr>
      </w:pPr>
    </w:p>
    <w:p w14:paraId="0F61B3A6" w14:textId="3AB5AFFD" w:rsidR="001A7E2E" w:rsidRDefault="001B5EA7" w:rsidP="001B5EA7">
      <w:pPr>
        <w:autoSpaceDE w:val="0"/>
        <w:autoSpaceDN w:val="0"/>
        <w:adjustRightInd w:val="0"/>
        <w:spacing w:after="0" w:line="240" w:lineRule="auto"/>
        <w:contextualSpacing/>
        <w:rPr>
          <w:rFonts w:ascii="Arial" w:eastAsia="Times New Roman" w:hAnsi="Arial" w:cs="Arial"/>
          <w:color w:val="000000"/>
          <w:szCs w:val="24"/>
        </w:rPr>
      </w:pPr>
      <w:r>
        <w:rPr>
          <w:rFonts w:ascii="Arial" w:eastAsia="Times New Roman" w:hAnsi="Arial" w:cs="Arial"/>
          <w:color w:val="000000"/>
          <w:szCs w:val="24"/>
        </w:rPr>
        <w:t xml:space="preserve">Per the RIVETING trial, a randomized study in which patients on </w:t>
      </w:r>
      <w:proofErr w:type="spellStart"/>
      <w:r w:rsidR="00E910B9">
        <w:rPr>
          <w:rFonts w:ascii="Arial" w:eastAsia="Times New Roman" w:hAnsi="Arial" w:cs="Arial"/>
          <w:color w:val="000000"/>
          <w:szCs w:val="24"/>
        </w:rPr>
        <w:t>tofactibinib</w:t>
      </w:r>
      <w:proofErr w:type="spellEnd"/>
      <w:r w:rsidR="00E910B9">
        <w:rPr>
          <w:rFonts w:ascii="Arial" w:eastAsia="Times New Roman" w:hAnsi="Arial" w:cs="Arial"/>
          <w:color w:val="000000"/>
          <w:szCs w:val="24"/>
        </w:rPr>
        <w:t xml:space="preserve"> </w:t>
      </w:r>
      <w:r>
        <w:rPr>
          <w:rFonts w:ascii="Arial" w:eastAsia="Times New Roman" w:hAnsi="Arial" w:cs="Arial"/>
          <w:color w:val="000000"/>
          <w:szCs w:val="24"/>
        </w:rPr>
        <w:t xml:space="preserve">10 mg PO BID were randomized to either 5 or 10 mg BID, 20% of participants flared with the dose decrease to 5 mg BID and more importantly, not all participants were able to recapture response or remission with the re-increase to 10 mg PO BID. Moreover, of the participants who dose de-escalated, those with </w:t>
      </w:r>
      <w:r>
        <w:rPr>
          <w:rFonts w:ascii="Arial" w:eastAsia="Times New Roman" w:hAnsi="Arial" w:cs="Arial"/>
          <w:color w:val="000000"/>
          <w:szCs w:val="24"/>
          <w:u w:val="single"/>
        </w:rPr>
        <w:t>deep endoscopic remission and without prior tumor necrosis inhibitor failure</w:t>
      </w:r>
      <w:r>
        <w:rPr>
          <w:rFonts w:ascii="Arial" w:eastAsia="Times New Roman" w:hAnsi="Arial" w:cs="Arial"/>
          <w:color w:val="000000"/>
          <w:szCs w:val="24"/>
        </w:rPr>
        <w:t xml:space="preserve"> were more likely to maintain remission.</w:t>
      </w:r>
      <w:r>
        <w:rPr>
          <w:rFonts w:ascii="Arial" w:eastAsia="Times New Roman" w:hAnsi="Arial" w:cs="Arial"/>
          <w:color w:val="000000"/>
          <w:szCs w:val="24"/>
          <w:vertAlign w:val="superscript"/>
        </w:rPr>
        <w:t>2</w:t>
      </w:r>
      <w:r>
        <w:rPr>
          <w:rFonts w:ascii="Arial" w:eastAsia="Times New Roman" w:hAnsi="Arial" w:cs="Arial"/>
          <w:color w:val="000000"/>
          <w:szCs w:val="24"/>
        </w:rPr>
        <w:t xml:space="preserve"> </w:t>
      </w:r>
    </w:p>
    <w:p w14:paraId="50375D08" w14:textId="77777777" w:rsidR="001A7E2E" w:rsidRDefault="001A7E2E" w:rsidP="001B5EA7">
      <w:pPr>
        <w:autoSpaceDE w:val="0"/>
        <w:autoSpaceDN w:val="0"/>
        <w:adjustRightInd w:val="0"/>
        <w:spacing w:after="0" w:line="240" w:lineRule="auto"/>
        <w:contextualSpacing/>
        <w:rPr>
          <w:rFonts w:ascii="Arial" w:eastAsia="Times New Roman" w:hAnsi="Arial" w:cs="Arial"/>
          <w:color w:val="000000"/>
          <w:szCs w:val="24"/>
        </w:rPr>
      </w:pPr>
    </w:p>
    <w:p w14:paraId="08DAE6E2" w14:textId="77777777" w:rsidR="005C58F9" w:rsidRDefault="005C58F9" w:rsidP="001B5EA7">
      <w:pPr>
        <w:autoSpaceDE w:val="0"/>
        <w:autoSpaceDN w:val="0"/>
        <w:adjustRightInd w:val="0"/>
        <w:spacing w:after="0" w:line="240" w:lineRule="auto"/>
        <w:contextualSpacing/>
        <w:rPr>
          <w:rFonts w:ascii="Arial" w:eastAsia="Times New Roman" w:hAnsi="Arial" w:cs="Arial"/>
          <w:color w:val="000000"/>
          <w:szCs w:val="24"/>
        </w:rPr>
      </w:pPr>
    </w:p>
    <w:p w14:paraId="4E2324CE" w14:textId="57894CE8" w:rsidR="001B5EA7" w:rsidRPr="00741BBC" w:rsidRDefault="00741BBC" w:rsidP="001B5EA7">
      <w:pPr>
        <w:autoSpaceDE w:val="0"/>
        <w:autoSpaceDN w:val="0"/>
        <w:adjustRightInd w:val="0"/>
        <w:spacing w:after="0" w:line="240" w:lineRule="auto"/>
        <w:contextualSpacing/>
        <w:rPr>
          <w:rFonts w:ascii="Arial" w:eastAsia="Times New Roman" w:hAnsi="Arial" w:cs="Arial"/>
          <w:b/>
          <w:color w:val="000000"/>
          <w:szCs w:val="24"/>
        </w:rPr>
      </w:pPr>
      <w:r>
        <w:rPr>
          <w:rFonts w:ascii="Arial" w:eastAsia="Times New Roman" w:hAnsi="Arial" w:cs="Arial"/>
          <w:color w:val="000000"/>
          <w:szCs w:val="24"/>
        </w:rPr>
        <w:t>These studies collectively highlight that</w:t>
      </w:r>
      <w:r w:rsidR="007C2A2C">
        <w:rPr>
          <w:rFonts w:ascii="Arial" w:eastAsia="Times New Roman" w:hAnsi="Arial" w:cs="Arial"/>
          <w:color w:val="000000"/>
          <w:szCs w:val="24"/>
        </w:rPr>
        <w:t xml:space="preserve"> certain</w:t>
      </w:r>
      <w:r>
        <w:rPr>
          <w:rFonts w:ascii="Arial" w:eastAsia="Times New Roman" w:hAnsi="Arial" w:cs="Arial"/>
          <w:color w:val="000000"/>
          <w:szCs w:val="24"/>
        </w:rPr>
        <w:t xml:space="preserve"> individuals with ulcerative colitis </w:t>
      </w:r>
      <w:r w:rsidR="007C2A2C">
        <w:rPr>
          <w:rFonts w:ascii="Arial" w:eastAsia="Times New Roman" w:hAnsi="Arial" w:cs="Arial"/>
          <w:color w:val="000000"/>
          <w:szCs w:val="24"/>
        </w:rPr>
        <w:t xml:space="preserve">experience disease worsening with </w:t>
      </w:r>
      <w:r w:rsidR="000912FD">
        <w:rPr>
          <w:rFonts w:ascii="Arial" w:eastAsia="Times New Roman" w:hAnsi="Arial" w:cs="Arial"/>
          <w:color w:val="000000"/>
          <w:szCs w:val="24"/>
        </w:rPr>
        <w:t xml:space="preserve">reduction to </w:t>
      </w:r>
      <w:r w:rsidR="007C2A2C">
        <w:rPr>
          <w:rFonts w:ascii="Arial" w:eastAsia="Times New Roman" w:hAnsi="Arial" w:cs="Arial"/>
          <w:color w:val="000000"/>
          <w:szCs w:val="24"/>
        </w:rPr>
        <w:t>tofacitinib 5 mg BID dosing and would benefit from continuation of the 10 mg BID dosing for optimal disease control.</w:t>
      </w:r>
    </w:p>
    <w:p w14:paraId="63279F9C" w14:textId="77777777" w:rsidR="008D28CC" w:rsidRDefault="008D28CC" w:rsidP="001B5EA7">
      <w:pPr>
        <w:autoSpaceDE w:val="0"/>
        <w:autoSpaceDN w:val="0"/>
        <w:adjustRightInd w:val="0"/>
        <w:spacing w:after="0" w:line="240" w:lineRule="auto"/>
        <w:contextualSpacing/>
        <w:rPr>
          <w:rFonts w:ascii="Arial" w:eastAsia="Times New Roman" w:hAnsi="Arial" w:cs="Arial"/>
          <w:color w:val="000000"/>
          <w:szCs w:val="24"/>
        </w:rPr>
      </w:pPr>
    </w:p>
    <w:p w14:paraId="58EE5664" w14:textId="10D68B4B" w:rsidR="001B5EA7" w:rsidRPr="000536E4" w:rsidRDefault="001B5EA7" w:rsidP="001B5EA7">
      <w:pPr>
        <w:autoSpaceDE w:val="0"/>
        <w:autoSpaceDN w:val="0"/>
        <w:adjustRightInd w:val="0"/>
        <w:spacing w:after="0" w:line="240" w:lineRule="auto"/>
        <w:contextualSpacing/>
        <w:rPr>
          <w:rFonts w:ascii="Arial" w:eastAsia="Times New Roman" w:hAnsi="Arial" w:cs="Arial"/>
          <w:color w:val="000000"/>
          <w:szCs w:val="24"/>
        </w:rPr>
      </w:pPr>
      <w:r w:rsidRPr="00AB20BD">
        <w:rPr>
          <w:rFonts w:ascii="Arial" w:eastAsia="Times New Roman" w:hAnsi="Arial" w:cs="Arial"/>
          <w:color w:val="000000"/>
          <w:szCs w:val="24"/>
        </w:rPr>
        <w:t xml:space="preserve">Based on the </w:t>
      </w:r>
      <w:r>
        <w:rPr>
          <w:rFonts w:ascii="Arial" w:eastAsia="Times New Roman" w:hAnsi="Arial" w:cs="Arial"/>
          <w:color w:val="000000"/>
          <w:szCs w:val="24"/>
        </w:rPr>
        <w:t>information</w:t>
      </w:r>
      <w:r w:rsidRPr="00AB20BD">
        <w:rPr>
          <w:rFonts w:ascii="Arial" w:eastAsia="Times New Roman" w:hAnsi="Arial" w:cs="Arial"/>
          <w:color w:val="000000"/>
          <w:szCs w:val="24"/>
        </w:rPr>
        <w:t xml:space="preserve"> presented in this letter and my professional experience, I am advocating that </w:t>
      </w:r>
      <w:r>
        <w:rPr>
          <w:rFonts w:ascii="Arial" w:eastAsia="Times New Roman" w:hAnsi="Arial" w:cs="Arial"/>
          <w:color w:val="000000"/>
          <w:szCs w:val="24"/>
        </w:rPr>
        <w:t xml:space="preserve">Xeljanz 10 mg PO twice daily be continued and covered for </w:t>
      </w:r>
      <w:r>
        <w:rPr>
          <w:rFonts w:ascii="Arial" w:eastAsia="Times New Roman" w:hAnsi="Arial" w:cs="Arial"/>
          <w:color w:val="FF0000"/>
          <w:szCs w:val="24"/>
        </w:rPr>
        <w:t>PATIENT NAME</w:t>
      </w:r>
      <w:r>
        <w:rPr>
          <w:rFonts w:ascii="Arial" w:eastAsia="Times New Roman" w:hAnsi="Arial" w:cs="Arial"/>
          <w:color w:val="000000"/>
          <w:szCs w:val="24"/>
        </w:rPr>
        <w:t>.</w:t>
      </w:r>
      <w:r w:rsidRPr="00AB20BD">
        <w:rPr>
          <w:rFonts w:ascii="Arial" w:eastAsia="Times New Roman" w:hAnsi="Arial" w:cs="Arial"/>
          <w:color w:val="000000"/>
          <w:szCs w:val="24"/>
        </w:rPr>
        <w:t xml:space="preserve"> </w:t>
      </w:r>
      <w:r>
        <w:rPr>
          <w:rFonts w:ascii="Arial" w:eastAsia="Times New Roman" w:hAnsi="Arial" w:cs="Arial"/>
          <w:b/>
          <w:color w:val="000000"/>
          <w:szCs w:val="24"/>
        </w:rPr>
        <w:t xml:space="preserve">An urgent review and approval </w:t>
      </w:r>
      <w:proofErr w:type="gramStart"/>
      <w:r>
        <w:rPr>
          <w:rFonts w:ascii="Arial" w:eastAsia="Times New Roman" w:hAnsi="Arial" w:cs="Arial"/>
          <w:b/>
          <w:color w:val="000000"/>
          <w:szCs w:val="24"/>
        </w:rPr>
        <w:t>is</w:t>
      </w:r>
      <w:proofErr w:type="gramEnd"/>
      <w:r>
        <w:rPr>
          <w:rFonts w:ascii="Arial" w:eastAsia="Times New Roman" w:hAnsi="Arial" w:cs="Arial"/>
          <w:b/>
          <w:color w:val="000000"/>
          <w:szCs w:val="24"/>
        </w:rPr>
        <w:t xml:space="preserve"> requested to minimize disruption in treatment and need for hospitalization and surgery if a UC flare is to occur. </w:t>
      </w:r>
    </w:p>
    <w:p w14:paraId="4A751704" w14:textId="77777777" w:rsidR="001B5EA7" w:rsidRDefault="001B5EA7" w:rsidP="001B5EA7">
      <w:pPr>
        <w:autoSpaceDE w:val="0"/>
        <w:autoSpaceDN w:val="0"/>
        <w:adjustRightInd w:val="0"/>
        <w:spacing w:after="0" w:line="240" w:lineRule="auto"/>
        <w:contextualSpacing/>
        <w:rPr>
          <w:rFonts w:ascii="Arial" w:eastAsia="Times New Roman" w:hAnsi="Arial" w:cs="Arial"/>
          <w:color w:val="000000"/>
          <w:szCs w:val="24"/>
        </w:rPr>
      </w:pPr>
    </w:p>
    <w:p w14:paraId="0900C262" w14:textId="77777777" w:rsidR="001B5EA7" w:rsidRPr="00AB20BD" w:rsidRDefault="001B5EA7" w:rsidP="001B5EA7">
      <w:pPr>
        <w:autoSpaceDE w:val="0"/>
        <w:autoSpaceDN w:val="0"/>
        <w:adjustRightInd w:val="0"/>
        <w:spacing w:after="0" w:line="240" w:lineRule="auto"/>
        <w:contextualSpacing/>
        <w:rPr>
          <w:rFonts w:ascii="Arial" w:eastAsia="Times New Roman" w:hAnsi="Arial" w:cs="Arial"/>
          <w:color w:val="000000"/>
          <w:szCs w:val="24"/>
        </w:rPr>
      </w:pPr>
      <w:r w:rsidRPr="00AB20BD">
        <w:rPr>
          <w:rFonts w:ascii="Arial" w:eastAsia="Times New Roman" w:hAnsi="Arial" w:cs="Arial"/>
          <w:color w:val="000000"/>
          <w:szCs w:val="24"/>
        </w:rPr>
        <w:t xml:space="preserve">I appreciate your consideration in this matter. Please feel free to contact my office if any additional information will help clarify this request.  </w:t>
      </w:r>
    </w:p>
    <w:p w14:paraId="7D2DD97A" w14:textId="77777777" w:rsidR="001B5EA7" w:rsidRPr="00AB20BD" w:rsidRDefault="001B5EA7" w:rsidP="001B5EA7">
      <w:pPr>
        <w:autoSpaceDE w:val="0"/>
        <w:autoSpaceDN w:val="0"/>
        <w:adjustRightInd w:val="0"/>
        <w:spacing w:after="0" w:line="240" w:lineRule="auto"/>
        <w:contextualSpacing/>
        <w:rPr>
          <w:rFonts w:ascii="Arial" w:eastAsia="Times New Roman" w:hAnsi="Arial" w:cs="Arial"/>
          <w:color w:val="000000"/>
          <w:szCs w:val="24"/>
        </w:rPr>
      </w:pPr>
    </w:p>
    <w:p w14:paraId="62FD2025" w14:textId="77777777" w:rsidR="001B5EA7" w:rsidRPr="00AB20BD" w:rsidRDefault="001B5EA7" w:rsidP="001B5EA7">
      <w:pPr>
        <w:autoSpaceDE w:val="0"/>
        <w:autoSpaceDN w:val="0"/>
        <w:adjustRightInd w:val="0"/>
        <w:spacing w:after="0" w:line="240" w:lineRule="auto"/>
        <w:contextualSpacing/>
        <w:rPr>
          <w:rFonts w:ascii="Arial" w:eastAsia="Times New Roman" w:hAnsi="Arial" w:cs="Arial"/>
          <w:color w:val="000000"/>
          <w:szCs w:val="24"/>
        </w:rPr>
      </w:pPr>
      <w:r w:rsidRPr="00AB20BD">
        <w:rPr>
          <w:rFonts w:ascii="Arial" w:eastAsia="Times New Roman" w:hAnsi="Arial" w:cs="Arial"/>
          <w:color w:val="000000"/>
          <w:szCs w:val="24"/>
        </w:rPr>
        <w:t>Sincerely,</w:t>
      </w:r>
    </w:p>
    <w:p w14:paraId="2D0167F3" w14:textId="77777777" w:rsidR="0022723D" w:rsidRPr="00A347BB" w:rsidRDefault="00A347BB" w:rsidP="0022723D">
      <w:pPr>
        <w:autoSpaceDE w:val="0"/>
        <w:autoSpaceDN w:val="0"/>
        <w:adjustRightInd w:val="0"/>
        <w:spacing w:after="0" w:line="240" w:lineRule="auto"/>
        <w:rPr>
          <w:rFonts w:ascii="Arial" w:eastAsia="Times New Roman" w:hAnsi="Arial" w:cs="Arial"/>
          <w:color w:val="FF0000"/>
          <w:szCs w:val="24"/>
        </w:rPr>
      </w:pPr>
      <w:r>
        <w:rPr>
          <w:rFonts w:ascii="Arial" w:eastAsia="Times New Roman" w:hAnsi="Arial" w:cs="Arial"/>
          <w:color w:val="FF0000"/>
          <w:szCs w:val="24"/>
        </w:rPr>
        <w:t>MD NAME</w:t>
      </w:r>
    </w:p>
    <w:p w14:paraId="29FDB20A" w14:textId="77777777" w:rsidR="0022723D" w:rsidRDefault="0022723D" w:rsidP="00AB20BD">
      <w:pPr>
        <w:autoSpaceDE w:val="0"/>
        <w:autoSpaceDN w:val="0"/>
        <w:adjustRightInd w:val="0"/>
        <w:spacing w:after="0" w:line="240" w:lineRule="auto"/>
        <w:contextualSpacing/>
        <w:rPr>
          <w:rFonts w:ascii="Arial" w:eastAsia="Times New Roman" w:hAnsi="Arial" w:cs="Arial"/>
          <w:color w:val="000000"/>
          <w:szCs w:val="24"/>
        </w:rPr>
      </w:pPr>
    </w:p>
    <w:p w14:paraId="04A3FE88" w14:textId="77777777" w:rsidR="00A72C08" w:rsidRDefault="00A72C08" w:rsidP="00AB20BD">
      <w:pPr>
        <w:autoSpaceDE w:val="0"/>
        <w:autoSpaceDN w:val="0"/>
        <w:adjustRightInd w:val="0"/>
        <w:spacing w:after="0" w:line="240" w:lineRule="auto"/>
        <w:contextualSpacing/>
        <w:rPr>
          <w:rFonts w:ascii="Arial" w:eastAsia="Times New Roman" w:hAnsi="Arial" w:cs="Arial"/>
          <w:color w:val="000000"/>
          <w:szCs w:val="24"/>
        </w:rPr>
      </w:pPr>
    </w:p>
    <w:p w14:paraId="6D5F95C3" w14:textId="77777777" w:rsidR="001B5EA7" w:rsidRDefault="001B5EA7" w:rsidP="001B5EA7">
      <w:pPr>
        <w:pStyle w:val="NoSpacing"/>
        <w:rPr>
          <w:rFonts w:ascii="Calibri" w:hAnsi="Calibri" w:cs="Calibri"/>
          <w:sz w:val="16"/>
          <w:szCs w:val="16"/>
        </w:rPr>
      </w:pPr>
      <w:r w:rsidRPr="007C2A2C">
        <w:rPr>
          <w:rFonts w:ascii="Calibri" w:hAnsi="Calibri" w:cs="Calibri"/>
          <w:sz w:val="16"/>
          <w:szCs w:val="16"/>
        </w:rPr>
        <w:t>References:</w:t>
      </w:r>
    </w:p>
    <w:p w14:paraId="64271BFD" w14:textId="77777777" w:rsidR="00807E61" w:rsidRDefault="00807E61" w:rsidP="001B5EA7">
      <w:pPr>
        <w:pStyle w:val="NoSpacing"/>
        <w:rPr>
          <w:rFonts w:ascii="Calibri" w:hAnsi="Calibri" w:cs="Calibri"/>
          <w:sz w:val="16"/>
          <w:szCs w:val="16"/>
        </w:rPr>
      </w:pPr>
    </w:p>
    <w:p w14:paraId="43E2F27B" w14:textId="4FFFE346" w:rsidR="000E72A1" w:rsidRDefault="000E72A1" w:rsidP="00807E61">
      <w:pPr>
        <w:pStyle w:val="NoSpacing"/>
        <w:ind w:left="360"/>
        <w:rPr>
          <w:rFonts w:ascii="Calibri" w:hAnsi="Calibri" w:cs="Calibri"/>
          <w:color w:val="212121"/>
          <w:sz w:val="16"/>
          <w:szCs w:val="16"/>
          <w:shd w:val="clear" w:color="auto" w:fill="FFFFFF"/>
        </w:rPr>
      </w:pPr>
    </w:p>
    <w:p w14:paraId="747D1FA3" w14:textId="77777777" w:rsidR="000E72A1" w:rsidRPr="00807E61" w:rsidRDefault="000E72A1" w:rsidP="000E72A1">
      <w:pPr>
        <w:pStyle w:val="ListParagraph"/>
        <w:numPr>
          <w:ilvl w:val="0"/>
          <w:numId w:val="4"/>
        </w:numPr>
        <w:autoSpaceDE w:val="0"/>
        <w:autoSpaceDN w:val="0"/>
        <w:adjustRightInd w:val="0"/>
        <w:spacing w:after="0" w:line="240" w:lineRule="auto"/>
        <w:rPr>
          <w:rFonts w:ascii="Calibri" w:eastAsia="Times New Roman" w:hAnsi="Calibri" w:cs="Calibri"/>
          <w:color w:val="000000"/>
          <w:sz w:val="16"/>
          <w:szCs w:val="16"/>
        </w:rPr>
      </w:pPr>
      <w:r w:rsidRPr="007C2A2C">
        <w:rPr>
          <w:rFonts w:ascii="Segoe UI" w:hAnsi="Segoe UI" w:cs="Segoe UI"/>
          <w:color w:val="212121"/>
          <w:sz w:val="16"/>
          <w:szCs w:val="16"/>
          <w:shd w:val="clear" w:color="auto" w:fill="FFFFFF"/>
        </w:rPr>
        <w:t xml:space="preserve">Sands BE, </w:t>
      </w:r>
      <w:proofErr w:type="spellStart"/>
      <w:r w:rsidRPr="007C2A2C">
        <w:rPr>
          <w:rFonts w:ascii="Segoe UI" w:hAnsi="Segoe UI" w:cs="Segoe UI"/>
          <w:color w:val="212121"/>
          <w:sz w:val="16"/>
          <w:szCs w:val="16"/>
          <w:shd w:val="clear" w:color="auto" w:fill="FFFFFF"/>
        </w:rPr>
        <w:t>Armuzzi</w:t>
      </w:r>
      <w:proofErr w:type="spellEnd"/>
      <w:r w:rsidRPr="007C2A2C">
        <w:rPr>
          <w:rFonts w:ascii="Segoe UI" w:hAnsi="Segoe UI" w:cs="Segoe UI"/>
          <w:color w:val="212121"/>
          <w:sz w:val="16"/>
          <w:szCs w:val="16"/>
          <w:shd w:val="clear" w:color="auto" w:fill="FFFFFF"/>
        </w:rPr>
        <w:t xml:space="preserve"> A, Marshall JK, et al. Efficacy and safety of tofacitinib dose de-escalation and dose escalation for patients with ulcerative colitis: results from OCTAVE Open. </w:t>
      </w:r>
      <w:r w:rsidRPr="007C2A2C">
        <w:rPr>
          <w:rFonts w:ascii="Segoe UI" w:hAnsi="Segoe UI" w:cs="Segoe UI"/>
          <w:i/>
          <w:iCs/>
          <w:color w:val="212121"/>
          <w:sz w:val="16"/>
          <w:szCs w:val="16"/>
          <w:shd w:val="clear" w:color="auto" w:fill="FFFFFF"/>
        </w:rPr>
        <w:t xml:space="preserve">Aliment </w:t>
      </w:r>
      <w:proofErr w:type="spellStart"/>
      <w:r w:rsidRPr="007C2A2C">
        <w:rPr>
          <w:rFonts w:ascii="Segoe UI" w:hAnsi="Segoe UI" w:cs="Segoe UI"/>
          <w:i/>
          <w:iCs/>
          <w:color w:val="212121"/>
          <w:sz w:val="16"/>
          <w:szCs w:val="16"/>
          <w:shd w:val="clear" w:color="auto" w:fill="FFFFFF"/>
        </w:rPr>
        <w:t>Pharmacol</w:t>
      </w:r>
      <w:proofErr w:type="spellEnd"/>
      <w:r w:rsidRPr="007C2A2C">
        <w:rPr>
          <w:rFonts w:ascii="Segoe UI" w:hAnsi="Segoe UI" w:cs="Segoe UI"/>
          <w:i/>
          <w:iCs/>
          <w:color w:val="212121"/>
          <w:sz w:val="16"/>
          <w:szCs w:val="16"/>
          <w:shd w:val="clear" w:color="auto" w:fill="FFFFFF"/>
        </w:rPr>
        <w:t xml:space="preserve"> </w:t>
      </w:r>
      <w:proofErr w:type="spellStart"/>
      <w:r w:rsidRPr="007C2A2C">
        <w:rPr>
          <w:rFonts w:ascii="Segoe UI" w:hAnsi="Segoe UI" w:cs="Segoe UI"/>
          <w:i/>
          <w:iCs/>
          <w:color w:val="212121"/>
          <w:sz w:val="16"/>
          <w:szCs w:val="16"/>
          <w:shd w:val="clear" w:color="auto" w:fill="FFFFFF"/>
        </w:rPr>
        <w:t>Ther</w:t>
      </w:r>
      <w:proofErr w:type="spellEnd"/>
      <w:r w:rsidRPr="007C2A2C">
        <w:rPr>
          <w:rFonts w:ascii="Segoe UI" w:hAnsi="Segoe UI" w:cs="Segoe UI"/>
          <w:color w:val="212121"/>
          <w:sz w:val="16"/>
          <w:szCs w:val="16"/>
          <w:shd w:val="clear" w:color="auto" w:fill="FFFFFF"/>
        </w:rPr>
        <w:t>. 2020;51(2):271-280. doi:10.1111/apt.15555</w:t>
      </w:r>
      <w:r w:rsidRPr="007C2A2C">
        <w:rPr>
          <w:rFonts w:ascii="Calibri" w:hAnsi="Calibri" w:cs="Calibri"/>
          <w:color w:val="212121"/>
          <w:sz w:val="16"/>
          <w:szCs w:val="16"/>
          <w:shd w:val="clear" w:color="auto" w:fill="FFFFFF"/>
        </w:rPr>
        <w:t xml:space="preserve"> </w:t>
      </w:r>
    </w:p>
    <w:p w14:paraId="0F7FED63" w14:textId="77777777" w:rsidR="00807E61" w:rsidRPr="007C2A2C" w:rsidRDefault="00807E61" w:rsidP="00807E61">
      <w:pPr>
        <w:pStyle w:val="ListParagraph"/>
        <w:autoSpaceDE w:val="0"/>
        <w:autoSpaceDN w:val="0"/>
        <w:adjustRightInd w:val="0"/>
        <w:spacing w:after="0" w:line="240" w:lineRule="auto"/>
        <w:ind w:left="360"/>
        <w:rPr>
          <w:rFonts w:ascii="Calibri" w:eastAsia="Times New Roman" w:hAnsi="Calibri" w:cs="Calibri"/>
          <w:color w:val="000000"/>
          <w:sz w:val="16"/>
          <w:szCs w:val="16"/>
        </w:rPr>
      </w:pPr>
    </w:p>
    <w:p w14:paraId="070150E8" w14:textId="74B7A286" w:rsidR="001B5EA7" w:rsidRPr="007C2A2C" w:rsidRDefault="001B5EA7" w:rsidP="00F7700A">
      <w:pPr>
        <w:pStyle w:val="NoSpacing"/>
        <w:numPr>
          <w:ilvl w:val="0"/>
          <w:numId w:val="4"/>
        </w:numPr>
        <w:rPr>
          <w:rFonts w:ascii="Calibri" w:hAnsi="Calibri" w:cs="Calibri"/>
          <w:color w:val="212121"/>
          <w:sz w:val="16"/>
          <w:szCs w:val="16"/>
          <w:shd w:val="clear" w:color="auto" w:fill="FFFFFF"/>
        </w:rPr>
      </w:pPr>
      <w:proofErr w:type="spellStart"/>
      <w:r w:rsidRPr="007C2A2C">
        <w:rPr>
          <w:rFonts w:ascii="Calibri" w:hAnsi="Calibri" w:cs="Calibri"/>
          <w:color w:val="212121"/>
          <w:sz w:val="16"/>
          <w:szCs w:val="16"/>
          <w:shd w:val="clear" w:color="auto" w:fill="FFFFFF"/>
        </w:rPr>
        <w:lastRenderedPageBreak/>
        <w:t>Vermeire</w:t>
      </w:r>
      <w:proofErr w:type="spellEnd"/>
      <w:r w:rsidRPr="007C2A2C">
        <w:rPr>
          <w:rFonts w:ascii="Calibri" w:hAnsi="Calibri" w:cs="Calibri"/>
          <w:color w:val="212121"/>
          <w:sz w:val="16"/>
          <w:szCs w:val="16"/>
          <w:shd w:val="clear" w:color="auto" w:fill="FFFFFF"/>
        </w:rPr>
        <w:t xml:space="preserve"> S, </w:t>
      </w:r>
      <w:proofErr w:type="spellStart"/>
      <w:r w:rsidRPr="007C2A2C">
        <w:rPr>
          <w:rFonts w:ascii="Calibri" w:hAnsi="Calibri" w:cs="Calibri"/>
          <w:color w:val="212121"/>
          <w:sz w:val="16"/>
          <w:szCs w:val="16"/>
          <w:shd w:val="clear" w:color="auto" w:fill="FFFFFF"/>
        </w:rPr>
        <w:t>Su</w:t>
      </w:r>
      <w:proofErr w:type="spellEnd"/>
      <w:r w:rsidRPr="007C2A2C">
        <w:rPr>
          <w:rFonts w:ascii="Calibri" w:hAnsi="Calibri" w:cs="Calibri"/>
          <w:color w:val="212121"/>
          <w:sz w:val="16"/>
          <w:szCs w:val="16"/>
          <w:shd w:val="clear" w:color="auto" w:fill="FFFFFF"/>
        </w:rPr>
        <w:t xml:space="preserve"> C, </w:t>
      </w:r>
      <w:proofErr w:type="spellStart"/>
      <w:r w:rsidRPr="007C2A2C">
        <w:rPr>
          <w:rFonts w:ascii="Calibri" w:hAnsi="Calibri" w:cs="Calibri"/>
          <w:color w:val="212121"/>
          <w:sz w:val="16"/>
          <w:szCs w:val="16"/>
          <w:shd w:val="clear" w:color="auto" w:fill="FFFFFF"/>
        </w:rPr>
        <w:t>Lawendy</w:t>
      </w:r>
      <w:proofErr w:type="spellEnd"/>
      <w:r w:rsidRPr="007C2A2C">
        <w:rPr>
          <w:rFonts w:ascii="Calibri" w:hAnsi="Calibri" w:cs="Calibri"/>
          <w:color w:val="212121"/>
          <w:sz w:val="16"/>
          <w:szCs w:val="16"/>
          <w:shd w:val="clear" w:color="auto" w:fill="FFFFFF"/>
        </w:rPr>
        <w:t xml:space="preserve"> N, et al. Outcomes of Tofacitinib Dose Reduction in Patients with Ulcerative Colitis in Stable Remission from the </w:t>
      </w:r>
      <w:proofErr w:type="spellStart"/>
      <w:r w:rsidRPr="007C2A2C">
        <w:rPr>
          <w:rFonts w:ascii="Calibri" w:hAnsi="Calibri" w:cs="Calibri"/>
          <w:color w:val="212121"/>
          <w:sz w:val="16"/>
          <w:szCs w:val="16"/>
          <w:shd w:val="clear" w:color="auto" w:fill="FFFFFF"/>
        </w:rPr>
        <w:t>Randomised</w:t>
      </w:r>
      <w:proofErr w:type="spellEnd"/>
      <w:r w:rsidRPr="007C2A2C">
        <w:rPr>
          <w:rFonts w:ascii="Calibri" w:hAnsi="Calibri" w:cs="Calibri"/>
          <w:color w:val="212121"/>
          <w:sz w:val="16"/>
          <w:szCs w:val="16"/>
          <w:shd w:val="clear" w:color="auto" w:fill="FFFFFF"/>
        </w:rPr>
        <w:t xml:space="preserve"> RIVETING Trial. </w:t>
      </w:r>
      <w:r w:rsidRPr="007C2A2C">
        <w:rPr>
          <w:rFonts w:ascii="Calibri" w:hAnsi="Calibri" w:cs="Calibri"/>
          <w:i/>
          <w:iCs/>
          <w:color w:val="212121"/>
          <w:sz w:val="16"/>
          <w:szCs w:val="16"/>
          <w:shd w:val="clear" w:color="auto" w:fill="FFFFFF"/>
        </w:rPr>
        <w:t xml:space="preserve">J </w:t>
      </w:r>
      <w:proofErr w:type="spellStart"/>
      <w:r w:rsidRPr="007C2A2C">
        <w:rPr>
          <w:rFonts w:ascii="Calibri" w:hAnsi="Calibri" w:cs="Calibri"/>
          <w:i/>
          <w:iCs/>
          <w:color w:val="212121"/>
          <w:sz w:val="16"/>
          <w:szCs w:val="16"/>
          <w:shd w:val="clear" w:color="auto" w:fill="FFFFFF"/>
        </w:rPr>
        <w:t>Crohns</w:t>
      </w:r>
      <w:proofErr w:type="spellEnd"/>
      <w:r w:rsidRPr="007C2A2C">
        <w:rPr>
          <w:rFonts w:ascii="Calibri" w:hAnsi="Calibri" w:cs="Calibri"/>
          <w:i/>
          <w:iCs/>
          <w:color w:val="212121"/>
          <w:sz w:val="16"/>
          <w:szCs w:val="16"/>
          <w:shd w:val="clear" w:color="auto" w:fill="FFFFFF"/>
        </w:rPr>
        <w:t xml:space="preserve"> Colitis</w:t>
      </w:r>
      <w:r w:rsidRPr="007C2A2C">
        <w:rPr>
          <w:rFonts w:ascii="Calibri" w:hAnsi="Calibri" w:cs="Calibri"/>
          <w:color w:val="212121"/>
          <w:sz w:val="16"/>
          <w:szCs w:val="16"/>
          <w:shd w:val="clear" w:color="auto" w:fill="FFFFFF"/>
        </w:rPr>
        <w:t>. 2021;15(7):1130-1141. doi:10.1093/</w:t>
      </w:r>
      <w:proofErr w:type="spellStart"/>
      <w:r w:rsidRPr="007C2A2C">
        <w:rPr>
          <w:rFonts w:ascii="Calibri" w:hAnsi="Calibri" w:cs="Calibri"/>
          <w:color w:val="212121"/>
          <w:sz w:val="16"/>
          <w:szCs w:val="16"/>
          <w:shd w:val="clear" w:color="auto" w:fill="FFFFFF"/>
        </w:rPr>
        <w:t>ecco-jcc</w:t>
      </w:r>
      <w:proofErr w:type="spellEnd"/>
      <w:r w:rsidRPr="007C2A2C">
        <w:rPr>
          <w:rFonts w:ascii="Calibri" w:hAnsi="Calibri" w:cs="Calibri"/>
          <w:color w:val="212121"/>
          <w:sz w:val="16"/>
          <w:szCs w:val="16"/>
          <w:shd w:val="clear" w:color="auto" w:fill="FFFFFF"/>
        </w:rPr>
        <w:t>/jjaa249</w:t>
      </w:r>
    </w:p>
    <w:p w14:paraId="010C2CB4" w14:textId="77777777" w:rsidR="00F7700A" w:rsidRPr="00F77E26" w:rsidRDefault="00F7700A" w:rsidP="00F7700A">
      <w:pPr>
        <w:pStyle w:val="NoSpacing"/>
        <w:rPr>
          <w:rFonts w:eastAsia="Times New Roman" w:cstheme="minorHAnsi"/>
          <w:sz w:val="20"/>
          <w:szCs w:val="20"/>
        </w:rPr>
      </w:pPr>
    </w:p>
    <w:p w14:paraId="503CCCDD" w14:textId="77777777" w:rsidR="002D0CEF" w:rsidRDefault="002D0CEF" w:rsidP="00AB20BD">
      <w:pPr>
        <w:autoSpaceDE w:val="0"/>
        <w:autoSpaceDN w:val="0"/>
        <w:adjustRightInd w:val="0"/>
        <w:spacing w:after="0" w:line="240" w:lineRule="auto"/>
        <w:contextualSpacing/>
        <w:rPr>
          <w:rFonts w:ascii="Arial" w:eastAsia="Times New Roman" w:hAnsi="Arial" w:cs="Arial"/>
          <w:color w:val="000000"/>
          <w:szCs w:val="24"/>
        </w:rPr>
      </w:pPr>
    </w:p>
    <w:p w14:paraId="478C2761" w14:textId="77777777" w:rsidR="009023A5" w:rsidRDefault="009023A5" w:rsidP="009023A5">
      <w:pPr>
        <w:autoSpaceDE w:val="0"/>
        <w:autoSpaceDN w:val="0"/>
        <w:adjustRightInd w:val="0"/>
        <w:spacing w:after="0" w:line="240" w:lineRule="auto"/>
        <w:contextualSpacing/>
        <w:rPr>
          <w:rFonts w:ascii="Arial" w:eastAsia="Times New Roman" w:hAnsi="Arial" w:cs="Arial"/>
          <w:color w:val="000000"/>
          <w:szCs w:val="24"/>
        </w:rPr>
      </w:pPr>
    </w:p>
    <w:sectPr w:rsidR="009023A5" w:rsidSect="005C75A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4B74" w14:textId="77777777" w:rsidR="00570F65" w:rsidRDefault="00570F65" w:rsidP="002E7621">
      <w:pPr>
        <w:spacing w:after="0" w:line="240" w:lineRule="auto"/>
      </w:pPr>
      <w:r>
        <w:separator/>
      </w:r>
    </w:p>
  </w:endnote>
  <w:endnote w:type="continuationSeparator" w:id="0">
    <w:p w14:paraId="5A2E957A" w14:textId="77777777" w:rsidR="00570F65" w:rsidRDefault="00570F65" w:rsidP="002E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D4E" w14:textId="77777777" w:rsidR="00AC25CA" w:rsidRDefault="00AC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FFFD" w14:textId="2D3F9213" w:rsidR="00AC25CA" w:rsidRDefault="00AC25CA" w:rsidP="00AC25CA">
    <w:pPr>
      <w:rPr>
        <w:rFonts w:cstheme="minorHAnsi"/>
        <w:i/>
        <w:iCs/>
        <w:sz w:val="16"/>
        <w:szCs w:val="16"/>
      </w:rPr>
    </w:pPr>
    <w:r w:rsidRPr="00B70666">
      <w:rPr>
        <w:rFonts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2AF04422" w14:textId="77777777" w:rsidR="00AC25CA" w:rsidRPr="007D1966" w:rsidRDefault="00AC25CA" w:rsidP="00AC25CA">
    <w:pPr>
      <w:rPr>
        <w:rFonts w:cstheme="minorHAnsi"/>
        <w:i/>
        <w:iCs/>
        <w:sz w:val="16"/>
        <w:szCs w:val="16"/>
      </w:rPr>
    </w:pPr>
  </w:p>
  <w:p w14:paraId="5E72A12B" w14:textId="77777777" w:rsidR="00AC25CA" w:rsidRPr="007D1966" w:rsidRDefault="00AC25CA" w:rsidP="00AC25CA">
    <w:pPr>
      <w:pStyle w:val="Footer"/>
      <w:rPr>
        <w:rFonts w:cstheme="minorHAnsi"/>
        <w:sz w:val="16"/>
        <w:szCs w:val="16"/>
      </w:rPr>
    </w:pPr>
    <w:r w:rsidRPr="007D1966">
      <w:rPr>
        <w:rFonts w:cstheme="minorHAnsi"/>
        <w:sz w:val="16"/>
        <w:szCs w:val="16"/>
      </w:rPr>
      <w:t>This letter was reviewed and approved by the Crohn’s &amp; Colitis Foundation’s National Scientific Advisory Council.</w:t>
    </w:r>
  </w:p>
  <w:p w14:paraId="6E9DE023" w14:textId="77777777" w:rsidR="00AC25CA" w:rsidRPr="00B70666" w:rsidRDefault="00AC25CA" w:rsidP="00AC25CA">
    <w:pPr>
      <w:rPr>
        <w:rFonts w:cstheme="minorHAnsi"/>
        <w:i/>
        <w:iCs/>
        <w:sz w:val="16"/>
        <w:szCs w:val="16"/>
      </w:rPr>
    </w:pPr>
  </w:p>
  <w:p w14:paraId="0F834893" w14:textId="5C2FB4FF" w:rsidR="00AC25CA" w:rsidRDefault="00AC25CA">
    <w:pPr>
      <w:pStyle w:val="Footer"/>
    </w:pPr>
  </w:p>
  <w:p w14:paraId="6092AD7C" w14:textId="77777777" w:rsidR="00AC25CA" w:rsidRDefault="00AC2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6015" w14:textId="77777777" w:rsidR="00AC25CA" w:rsidRDefault="00AC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D067" w14:textId="77777777" w:rsidR="00570F65" w:rsidRDefault="00570F65" w:rsidP="002E7621">
      <w:pPr>
        <w:spacing w:after="0" w:line="240" w:lineRule="auto"/>
      </w:pPr>
      <w:r>
        <w:separator/>
      </w:r>
    </w:p>
  </w:footnote>
  <w:footnote w:type="continuationSeparator" w:id="0">
    <w:p w14:paraId="18A14844" w14:textId="77777777" w:rsidR="00570F65" w:rsidRDefault="00570F65" w:rsidP="002E7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6693" w14:textId="77777777" w:rsidR="00AC25CA" w:rsidRDefault="00AC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A17C" w14:textId="77777777" w:rsidR="00AC25CA" w:rsidRDefault="00AC2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8957" w14:textId="77777777" w:rsidR="00AC25CA" w:rsidRDefault="00AC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415"/>
    <w:multiLevelType w:val="hybridMultilevel"/>
    <w:tmpl w:val="89588E0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526BD"/>
    <w:multiLevelType w:val="hybridMultilevel"/>
    <w:tmpl w:val="722A5222"/>
    <w:lvl w:ilvl="0" w:tplc="3DD2F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86F96"/>
    <w:multiLevelType w:val="hybridMultilevel"/>
    <w:tmpl w:val="E3E08EA2"/>
    <w:lvl w:ilvl="0" w:tplc="3BB646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A16FC"/>
    <w:multiLevelType w:val="hybridMultilevel"/>
    <w:tmpl w:val="8520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259468">
    <w:abstractNumId w:val="2"/>
  </w:num>
  <w:num w:numId="2" w16cid:durableId="643241957">
    <w:abstractNumId w:val="3"/>
  </w:num>
  <w:num w:numId="3" w16cid:durableId="925726380">
    <w:abstractNumId w:val="1"/>
  </w:num>
  <w:num w:numId="4" w16cid:durableId="52732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BD"/>
    <w:rsid w:val="00016A25"/>
    <w:rsid w:val="00022ACB"/>
    <w:rsid w:val="000434BA"/>
    <w:rsid w:val="000912FD"/>
    <w:rsid w:val="000B7E77"/>
    <w:rsid w:val="000C3C17"/>
    <w:rsid w:val="000E0725"/>
    <w:rsid w:val="000E40A3"/>
    <w:rsid w:val="000E72A1"/>
    <w:rsid w:val="000F7304"/>
    <w:rsid w:val="00112267"/>
    <w:rsid w:val="00150BF8"/>
    <w:rsid w:val="00192731"/>
    <w:rsid w:val="001A20F2"/>
    <w:rsid w:val="001A5FF6"/>
    <w:rsid w:val="001A72B9"/>
    <w:rsid w:val="001A7E2E"/>
    <w:rsid w:val="001B493F"/>
    <w:rsid w:val="001B5EA7"/>
    <w:rsid w:val="00207AE5"/>
    <w:rsid w:val="0022723D"/>
    <w:rsid w:val="00240C85"/>
    <w:rsid w:val="00243375"/>
    <w:rsid w:val="002545D3"/>
    <w:rsid w:val="00275340"/>
    <w:rsid w:val="002B7F67"/>
    <w:rsid w:val="002C4950"/>
    <w:rsid w:val="002D0CEF"/>
    <w:rsid w:val="002E7621"/>
    <w:rsid w:val="00300F05"/>
    <w:rsid w:val="00301226"/>
    <w:rsid w:val="003329C5"/>
    <w:rsid w:val="00366453"/>
    <w:rsid w:val="003B0C75"/>
    <w:rsid w:val="003F5D86"/>
    <w:rsid w:val="004339F3"/>
    <w:rsid w:val="00442AA8"/>
    <w:rsid w:val="004475D1"/>
    <w:rsid w:val="004547C0"/>
    <w:rsid w:val="00463D23"/>
    <w:rsid w:val="00490388"/>
    <w:rsid w:val="004971CA"/>
    <w:rsid w:val="004C3C59"/>
    <w:rsid w:val="004E3ADC"/>
    <w:rsid w:val="00561040"/>
    <w:rsid w:val="00570F65"/>
    <w:rsid w:val="005C58F9"/>
    <w:rsid w:val="005C75AD"/>
    <w:rsid w:val="005D470A"/>
    <w:rsid w:val="005E093D"/>
    <w:rsid w:val="005E635C"/>
    <w:rsid w:val="005F4CB9"/>
    <w:rsid w:val="00622A09"/>
    <w:rsid w:val="00692B21"/>
    <w:rsid w:val="00692FF7"/>
    <w:rsid w:val="006A0AA8"/>
    <w:rsid w:val="006D490F"/>
    <w:rsid w:val="006E6621"/>
    <w:rsid w:val="00741BBC"/>
    <w:rsid w:val="00756B76"/>
    <w:rsid w:val="00763D67"/>
    <w:rsid w:val="00784D2F"/>
    <w:rsid w:val="0079285E"/>
    <w:rsid w:val="007A72F3"/>
    <w:rsid w:val="007C2A2C"/>
    <w:rsid w:val="007F1972"/>
    <w:rsid w:val="00807E61"/>
    <w:rsid w:val="00811361"/>
    <w:rsid w:val="00813B34"/>
    <w:rsid w:val="00820CF8"/>
    <w:rsid w:val="008B02A5"/>
    <w:rsid w:val="008C0681"/>
    <w:rsid w:val="008C5B03"/>
    <w:rsid w:val="008D28CC"/>
    <w:rsid w:val="008E5C1C"/>
    <w:rsid w:val="009023A5"/>
    <w:rsid w:val="00912DC9"/>
    <w:rsid w:val="00961321"/>
    <w:rsid w:val="00A254D7"/>
    <w:rsid w:val="00A347BB"/>
    <w:rsid w:val="00A72C08"/>
    <w:rsid w:val="00A80A62"/>
    <w:rsid w:val="00AB20BD"/>
    <w:rsid w:val="00AC25CA"/>
    <w:rsid w:val="00AC4F7A"/>
    <w:rsid w:val="00AF16B1"/>
    <w:rsid w:val="00B059C4"/>
    <w:rsid w:val="00B43C04"/>
    <w:rsid w:val="00BC79EC"/>
    <w:rsid w:val="00C22192"/>
    <w:rsid w:val="00C42D98"/>
    <w:rsid w:val="00C537C1"/>
    <w:rsid w:val="00C55945"/>
    <w:rsid w:val="00C63407"/>
    <w:rsid w:val="00C73225"/>
    <w:rsid w:val="00CB0448"/>
    <w:rsid w:val="00D55B1A"/>
    <w:rsid w:val="00D96021"/>
    <w:rsid w:val="00D96FC1"/>
    <w:rsid w:val="00DB12CA"/>
    <w:rsid w:val="00DB1582"/>
    <w:rsid w:val="00DE127A"/>
    <w:rsid w:val="00DF0E0A"/>
    <w:rsid w:val="00E5307B"/>
    <w:rsid w:val="00E910B9"/>
    <w:rsid w:val="00F41A46"/>
    <w:rsid w:val="00F610FF"/>
    <w:rsid w:val="00F7700A"/>
    <w:rsid w:val="00F77396"/>
    <w:rsid w:val="00FD2301"/>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FF6EC"/>
  <w15:chartTrackingRefBased/>
  <w15:docId w15:val="{CAED4FC9-5906-4EAC-971E-87631CC5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29C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AD"/>
    <w:pPr>
      <w:ind w:left="720"/>
      <w:contextualSpacing/>
    </w:pPr>
  </w:style>
  <w:style w:type="paragraph" w:styleId="NoSpacing">
    <w:name w:val="No Spacing"/>
    <w:uiPriority w:val="1"/>
    <w:qFormat/>
    <w:rsid w:val="00DF0E0A"/>
    <w:pPr>
      <w:spacing w:after="0" w:line="240" w:lineRule="auto"/>
    </w:pPr>
  </w:style>
  <w:style w:type="paragraph" w:styleId="Header">
    <w:name w:val="header"/>
    <w:basedOn w:val="Normal"/>
    <w:link w:val="HeaderChar"/>
    <w:uiPriority w:val="99"/>
    <w:unhideWhenUsed/>
    <w:rsid w:val="002E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21"/>
  </w:style>
  <w:style w:type="paragraph" w:styleId="Footer">
    <w:name w:val="footer"/>
    <w:basedOn w:val="Normal"/>
    <w:link w:val="FooterChar"/>
    <w:uiPriority w:val="99"/>
    <w:unhideWhenUsed/>
    <w:rsid w:val="002E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21"/>
  </w:style>
  <w:style w:type="character" w:styleId="CommentReference">
    <w:name w:val="annotation reference"/>
    <w:basedOn w:val="DefaultParagraphFont"/>
    <w:uiPriority w:val="99"/>
    <w:semiHidden/>
    <w:unhideWhenUsed/>
    <w:rsid w:val="004339F3"/>
    <w:rPr>
      <w:sz w:val="16"/>
      <w:szCs w:val="16"/>
    </w:rPr>
  </w:style>
  <w:style w:type="paragraph" w:styleId="CommentText">
    <w:name w:val="annotation text"/>
    <w:basedOn w:val="Normal"/>
    <w:link w:val="CommentTextChar"/>
    <w:uiPriority w:val="99"/>
    <w:semiHidden/>
    <w:unhideWhenUsed/>
    <w:rsid w:val="004339F3"/>
    <w:pPr>
      <w:spacing w:line="240" w:lineRule="auto"/>
    </w:pPr>
    <w:rPr>
      <w:sz w:val="20"/>
      <w:szCs w:val="20"/>
    </w:rPr>
  </w:style>
  <w:style w:type="character" w:customStyle="1" w:styleId="CommentTextChar">
    <w:name w:val="Comment Text Char"/>
    <w:basedOn w:val="DefaultParagraphFont"/>
    <w:link w:val="CommentText"/>
    <w:uiPriority w:val="99"/>
    <w:semiHidden/>
    <w:rsid w:val="004339F3"/>
    <w:rPr>
      <w:sz w:val="20"/>
      <w:szCs w:val="20"/>
    </w:rPr>
  </w:style>
  <w:style w:type="paragraph" w:styleId="CommentSubject">
    <w:name w:val="annotation subject"/>
    <w:basedOn w:val="CommentText"/>
    <w:next w:val="CommentText"/>
    <w:link w:val="CommentSubjectChar"/>
    <w:uiPriority w:val="99"/>
    <w:semiHidden/>
    <w:unhideWhenUsed/>
    <w:rsid w:val="004339F3"/>
    <w:rPr>
      <w:b/>
      <w:bCs/>
    </w:rPr>
  </w:style>
  <w:style w:type="character" w:customStyle="1" w:styleId="CommentSubjectChar">
    <w:name w:val="Comment Subject Char"/>
    <w:basedOn w:val="CommentTextChar"/>
    <w:link w:val="CommentSubject"/>
    <w:uiPriority w:val="99"/>
    <w:semiHidden/>
    <w:rsid w:val="004339F3"/>
    <w:rPr>
      <w:b/>
      <w:bCs/>
      <w:sz w:val="20"/>
      <w:szCs w:val="20"/>
    </w:rPr>
  </w:style>
  <w:style w:type="paragraph" w:styleId="BalloonText">
    <w:name w:val="Balloon Text"/>
    <w:basedOn w:val="Normal"/>
    <w:link w:val="BalloonTextChar"/>
    <w:uiPriority w:val="99"/>
    <w:semiHidden/>
    <w:unhideWhenUsed/>
    <w:rsid w:val="0043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F3"/>
    <w:rPr>
      <w:rFonts w:ascii="Segoe UI" w:hAnsi="Segoe UI" w:cs="Segoe UI"/>
      <w:sz w:val="18"/>
      <w:szCs w:val="18"/>
    </w:rPr>
  </w:style>
  <w:style w:type="character" w:styleId="Hyperlink">
    <w:name w:val="Hyperlink"/>
    <w:basedOn w:val="DefaultParagraphFont"/>
    <w:uiPriority w:val="99"/>
    <w:unhideWhenUsed/>
    <w:rsid w:val="001B5EA7"/>
    <w:rPr>
      <w:color w:val="0563C1" w:themeColor="hyperlink"/>
      <w:u w:val="single"/>
    </w:rPr>
  </w:style>
  <w:style w:type="character" w:styleId="FollowedHyperlink">
    <w:name w:val="FollowedHyperlink"/>
    <w:basedOn w:val="DefaultParagraphFont"/>
    <w:uiPriority w:val="99"/>
    <w:semiHidden/>
    <w:unhideWhenUsed/>
    <w:rsid w:val="00F7700A"/>
    <w:rPr>
      <w:color w:val="954F72" w:themeColor="followedHyperlink"/>
      <w:u w:val="single"/>
    </w:rPr>
  </w:style>
  <w:style w:type="character" w:customStyle="1" w:styleId="Heading1Char">
    <w:name w:val="Heading 1 Char"/>
    <w:basedOn w:val="DefaultParagraphFont"/>
    <w:link w:val="Heading1"/>
    <w:rsid w:val="003329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7373">
      <w:bodyDiv w:val="1"/>
      <w:marLeft w:val="0"/>
      <w:marRight w:val="0"/>
      <w:marTop w:val="0"/>
      <w:marBottom w:val="0"/>
      <w:divBdr>
        <w:top w:val="none" w:sz="0" w:space="0" w:color="auto"/>
        <w:left w:val="none" w:sz="0" w:space="0" w:color="auto"/>
        <w:bottom w:val="none" w:sz="0" w:space="0" w:color="auto"/>
        <w:right w:val="none" w:sz="0" w:space="0" w:color="auto"/>
      </w:divBdr>
    </w:div>
    <w:div w:id="16211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1AB60-D363-4A60-98AB-1455C295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8A7DE-217D-4B4E-A4A6-78585E33D94C}">
  <ds:schemaRef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e3daf48a-308e-43de-88ef-ca4f40f3f003"/>
    <ds:schemaRef ds:uri="http://schemas.microsoft.com/office/2006/documentManagement/types"/>
    <ds:schemaRef ds:uri="http://schemas.microsoft.com/sharepoint/v3"/>
    <ds:schemaRef ds:uri="http://schemas.microsoft.com/office/infopath/2007/PartnerControls"/>
    <ds:schemaRef ds:uri="c57fea2e-d146-428a-a2a2-061547110c3f"/>
    <ds:schemaRef ds:uri="http://www.w3.org/XML/1998/namespace"/>
  </ds:schemaRefs>
</ds:datastoreItem>
</file>

<file path=customXml/itemProps3.xml><?xml version="1.0" encoding="utf-8"?>
<ds:datastoreItem xmlns:ds="http://schemas.openxmlformats.org/officeDocument/2006/customXml" ds:itemID="{998A257B-CF59-4D91-9D3B-FC5100475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Shubha</dc:creator>
  <cp:keywords/>
  <dc:description/>
  <cp:lastModifiedBy>Alyssa Strauss</cp:lastModifiedBy>
  <cp:revision>3</cp:revision>
  <dcterms:created xsi:type="dcterms:W3CDTF">2023-02-09T21:03:00Z</dcterms:created>
  <dcterms:modified xsi:type="dcterms:W3CDTF">2023-02-09T21:03:00Z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