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B431" w14:textId="77777777" w:rsidR="00847392" w:rsidRDefault="00847392" w:rsidP="00847392">
      <w:pPr>
        <w:pStyle w:val="Normal0"/>
        <w:rPr>
          <w:rFonts w:ascii="Calibri" w:hAnsi="Calibri" w:cs="Calibri"/>
          <w:sz w:val="22"/>
          <w:szCs w:val="22"/>
        </w:rPr>
      </w:pPr>
      <w:r>
        <w:rPr>
          <w:rFonts w:ascii="Calibri" w:hAnsi="Calibri" w:cs="Calibri"/>
          <w:sz w:val="22"/>
          <w:szCs w:val="22"/>
        </w:rPr>
        <w:t>Insurance Company</w:t>
      </w:r>
    </w:p>
    <w:p w14:paraId="17ED7C9E" w14:textId="77777777" w:rsidR="00847392" w:rsidRDefault="00847392" w:rsidP="00847392">
      <w:pPr>
        <w:pStyle w:val="Normal0"/>
        <w:rPr>
          <w:rFonts w:ascii="Calibri" w:hAnsi="Calibri" w:cs="Calibri"/>
          <w:sz w:val="22"/>
          <w:szCs w:val="22"/>
        </w:rPr>
      </w:pPr>
    </w:p>
    <w:p w14:paraId="0CD27173" w14:textId="77777777" w:rsidR="00847392" w:rsidRPr="00F7312B" w:rsidRDefault="00847392" w:rsidP="00847392">
      <w:pPr>
        <w:pStyle w:val="Normal0"/>
        <w:rPr>
          <w:rFonts w:ascii="Calibri" w:hAnsi="Calibri" w:cs="Calibri"/>
          <w:b/>
          <w:sz w:val="22"/>
          <w:szCs w:val="22"/>
        </w:rPr>
      </w:pPr>
      <w:r w:rsidRPr="00F7312B">
        <w:rPr>
          <w:rFonts w:ascii="Calibri" w:hAnsi="Calibri" w:cs="Calibri"/>
          <w:b/>
          <w:sz w:val="22"/>
          <w:szCs w:val="22"/>
        </w:rPr>
        <w:t>RE: PATIENT</w:t>
      </w:r>
    </w:p>
    <w:p w14:paraId="0056F72A" w14:textId="77777777" w:rsidR="00847392" w:rsidRPr="00F7312B" w:rsidRDefault="00847392" w:rsidP="00847392">
      <w:pPr>
        <w:pStyle w:val="Normal0"/>
        <w:rPr>
          <w:rFonts w:ascii="Calibri" w:hAnsi="Calibri" w:cs="Calibri"/>
          <w:b/>
          <w:sz w:val="22"/>
          <w:szCs w:val="22"/>
        </w:rPr>
      </w:pPr>
      <w:r w:rsidRPr="00F7312B">
        <w:rPr>
          <w:rFonts w:ascii="Calibri" w:hAnsi="Calibri" w:cs="Calibri"/>
          <w:b/>
          <w:sz w:val="22"/>
          <w:szCs w:val="22"/>
        </w:rPr>
        <w:t>DOB:</w:t>
      </w:r>
    </w:p>
    <w:p w14:paraId="2354A415" w14:textId="77777777" w:rsidR="00847392" w:rsidRPr="00F7312B" w:rsidRDefault="00847392" w:rsidP="00847392">
      <w:pPr>
        <w:pStyle w:val="Normal0"/>
        <w:rPr>
          <w:rFonts w:ascii="Calibri" w:hAnsi="Calibri" w:cs="Calibri"/>
          <w:b/>
          <w:sz w:val="22"/>
          <w:szCs w:val="22"/>
        </w:rPr>
      </w:pPr>
      <w:r w:rsidRPr="00F7312B">
        <w:rPr>
          <w:rFonts w:ascii="Calibri" w:hAnsi="Calibri" w:cs="Calibri"/>
          <w:b/>
          <w:sz w:val="22"/>
          <w:szCs w:val="22"/>
        </w:rPr>
        <w:t>ID#</w:t>
      </w:r>
    </w:p>
    <w:p w14:paraId="01277859" w14:textId="77777777" w:rsidR="00847392" w:rsidRPr="00F7312B" w:rsidRDefault="00847392" w:rsidP="00847392">
      <w:pPr>
        <w:pStyle w:val="Normal0"/>
        <w:rPr>
          <w:rFonts w:ascii="Calibri" w:hAnsi="Calibri" w:cs="Calibri"/>
          <w:b/>
          <w:sz w:val="22"/>
          <w:szCs w:val="22"/>
        </w:rPr>
      </w:pPr>
      <w:r w:rsidRPr="00F7312B">
        <w:rPr>
          <w:rFonts w:ascii="Calibri" w:hAnsi="Calibri" w:cs="Calibri"/>
          <w:b/>
          <w:sz w:val="22"/>
          <w:szCs w:val="22"/>
        </w:rPr>
        <w:t>Pat Acct #</w:t>
      </w:r>
    </w:p>
    <w:p w14:paraId="6240B177" w14:textId="77777777" w:rsidR="00847392" w:rsidRDefault="00847392" w:rsidP="00847392">
      <w:pPr>
        <w:pStyle w:val="Normal0"/>
        <w:rPr>
          <w:rFonts w:ascii="Calibri" w:hAnsi="Calibri" w:cs="Calibri"/>
          <w:sz w:val="22"/>
          <w:szCs w:val="22"/>
        </w:rPr>
      </w:pPr>
    </w:p>
    <w:p w14:paraId="66E518D7" w14:textId="77777777" w:rsidR="00847392" w:rsidRPr="00F7312B" w:rsidRDefault="00847392" w:rsidP="00847392">
      <w:pPr>
        <w:pStyle w:val="Normal0"/>
        <w:rPr>
          <w:rFonts w:ascii="Calibri" w:hAnsi="Calibri" w:cs="Calibri"/>
          <w:sz w:val="22"/>
          <w:szCs w:val="22"/>
        </w:rPr>
      </w:pPr>
      <w:r w:rsidRPr="00F7312B">
        <w:rPr>
          <w:rFonts w:ascii="Calibri" w:hAnsi="Calibri" w:cs="Calibri"/>
          <w:sz w:val="22"/>
          <w:szCs w:val="22"/>
        </w:rPr>
        <w:t>Dear Sir</w:t>
      </w:r>
      <w:r>
        <w:rPr>
          <w:rFonts w:ascii="Calibri" w:hAnsi="Calibri" w:cs="Calibri"/>
          <w:sz w:val="22"/>
          <w:szCs w:val="22"/>
        </w:rPr>
        <w:t>,</w:t>
      </w:r>
      <w:r w:rsidRPr="00F7312B">
        <w:rPr>
          <w:rFonts w:ascii="Calibri" w:hAnsi="Calibri" w:cs="Calibri"/>
          <w:sz w:val="22"/>
          <w:szCs w:val="22"/>
        </w:rPr>
        <w:t xml:space="preserve"> or Madam:</w:t>
      </w:r>
    </w:p>
    <w:p w14:paraId="7DF6EA03" w14:textId="77777777" w:rsidR="00847392" w:rsidRDefault="00847392" w:rsidP="00847392">
      <w:pPr>
        <w:autoSpaceDE w:val="0"/>
        <w:autoSpaceDN w:val="0"/>
        <w:spacing w:before="1" w:after="1"/>
        <w:ind w:right="1"/>
        <w:rPr>
          <w:rFonts w:cstheme="minorHAnsi"/>
          <w:color w:val="000000"/>
        </w:rPr>
      </w:pPr>
    </w:p>
    <w:p w14:paraId="21612314" w14:textId="77777777" w:rsidR="00847392" w:rsidRPr="00AC3F27" w:rsidRDefault="00847392" w:rsidP="00847392">
      <w:pPr>
        <w:autoSpaceDE w:val="0"/>
        <w:autoSpaceDN w:val="0"/>
        <w:spacing w:before="1" w:after="1"/>
        <w:ind w:left="300" w:right="1"/>
        <w:rPr>
          <w:rFonts w:cstheme="minorHAnsi"/>
          <w:color w:val="000000"/>
        </w:rPr>
      </w:pPr>
      <w:r w:rsidRPr="00AC3F27">
        <w:rPr>
          <w:rFonts w:cstheme="minorHAnsi"/>
          <w:color w:val="000000"/>
        </w:rPr>
        <w:t> </w:t>
      </w:r>
    </w:p>
    <w:p w14:paraId="5EB7F607" w14:textId="665A1BD0" w:rsidR="00202FCE" w:rsidRPr="00AC3F27" w:rsidRDefault="00847392" w:rsidP="00202FCE">
      <w:pPr>
        <w:autoSpaceDE w:val="0"/>
        <w:autoSpaceDN w:val="0"/>
        <w:spacing w:before="1" w:after="1"/>
        <w:ind w:right="1"/>
        <w:rPr>
          <w:rFonts w:cstheme="minorHAnsi"/>
          <w:color w:val="000000"/>
        </w:rPr>
      </w:pPr>
      <w:r w:rsidRPr="00AC3F27">
        <w:rPr>
          <w:rFonts w:cstheme="minorHAnsi"/>
          <w:color w:val="000000"/>
        </w:rPr>
        <w:t xml:space="preserve">I am writing this letter on behalf of my patient, </w:t>
      </w:r>
      <w:r w:rsidRPr="00CF1B9D">
        <w:rPr>
          <w:rFonts w:cstheme="minorHAnsi"/>
          <w:color w:val="FF0000"/>
        </w:rPr>
        <w:t>PATIENT NAME</w:t>
      </w:r>
      <w:r w:rsidRPr="00AC3F27">
        <w:rPr>
          <w:rFonts w:cstheme="minorHAnsi"/>
          <w:color w:val="000000"/>
        </w:rPr>
        <w:t xml:space="preserve">, to request that you reconsider your decision to deny payment for the </w:t>
      </w:r>
      <w:r>
        <w:rPr>
          <w:rFonts w:cstheme="minorHAnsi"/>
          <w:color w:val="000000"/>
        </w:rPr>
        <w:t>vedolizumab</w:t>
      </w:r>
      <w:r w:rsidRPr="00AC3F27">
        <w:rPr>
          <w:rFonts w:cstheme="minorHAnsi"/>
          <w:color w:val="000000"/>
        </w:rPr>
        <w:t xml:space="preserve"> trough test that was performed on __________________.  </w:t>
      </w:r>
      <w:r w:rsidR="00202FCE" w:rsidRPr="00AC3F27">
        <w:rPr>
          <w:rFonts w:cstheme="minorHAnsi"/>
          <w:color w:val="000000"/>
        </w:rPr>
        <w:t xml:space="preserve">This test measures the level of </w:t>
      </w:r>
      <w:r w:rsidR="00202FCE">
        <w:rPr>
          <w:rFonts w:cstheme="minorHAnsi"/>
          <w:color w:val="000000"/>
        </w:rPr>
        <w:t xml:space="preserve">vedolizumab </w:t>
      </w:r>
      <w:r w:rsidR="00202FCE" w:rsidRPr="00AC3F27">
        <w:rPr>
          <w:rFonts w:cstheme="minorHAnsi"/>
          <w:color w:val="000000"/>
        </w:rPr>
        <w:t>and checks for the presence of anti-</w:t>
      </w:r>
      <w:r w:rsidR="00202FCE">
        <w:rPr>
          <w:rFonts w:cstheme="minorHAnsi"/>
          <w:color w:val="000000"/>
        </w:rPr>
        <w:t>vedolizumab</w:t>
      </w:r>
      <w:r w:rsidR="00202FCE" w:rsidRPr="00AC3F27">
        <w:rPr>
          <w:rFonts w:cstheme="minorHAnsi"/>
          <w:color w:val="000000"/>
        </w:rPr>
        <w:t xml:space="preserve"> antibodies.</w:t>
      </w:r>
    </w:p>
    <w:p w14:paraId="4D3F1160" w14:textId="4302DC1F" w:rsidR="00847392" w:rsidRPr="00AC3F27" w:rsidRDefault="00847392" w:rsidP="00F31F31">
      <w:pPr>
        <w:autoSpaceDE w:val="0"/>
        <w:autoSpaceDN w:val="0"/>
        <w:spacing w:before="1" w:after="1"/>
        <w:ind w:right="1"/>
        <w:rPr>
          <w:rFonts w:cstheme="minorHAnsi"/>
          <w:color w:val="000000"/>
        </w:rPr>
      </w:pPr>
    </w:p>
    <w:p w14:paraId="45A5CCB0" w14:textId="5FC35A04" w:rsidR="00847392" w:rsidRDefault="00847392" w:rsidP="00F31F31">
      <w:pPr>
        <w:autoSpaceDE w:val="0"/>
        <w:autoSpaceDN w:val="0"/>
        <w:spacing w:before="1" w:after="1"/>
        <w:ind w:right="1"/>
        <w:rPr>
          <w:rFonts w:cstheme="minorHAnsi"/>
          <w:color w:val="FF0000"/>
        </w:rPr>
      </w:pPr>
      <w:r w:rsidRPr="00CF1B9D">
        <w:rPr>
          <w:rFonts w:cstheme="minorHAnsi"/>
          <w:color w:val="FF0000"/>
        </w:rPr>
        <w:t>INSERT PATIENT’s CLNICAL SITUATION AND REASON FOR ODERING TEST HERE</w:t>
      </w:r>
    </w:p>
    <w:p w14:paraId="00058739" w14:textId="77777777" w:rsidR="00F31F31" w:rsidRPr="00F31F31" w:rsidRDefault="00F31F31" w:rsidP="00F31F31">
      <w:pPr>
        <w:autoSpaceDE w:val="0"/>
        <w:autoSpaceDN w:val="0"/>
        <w:spacing w:before="1" w:after="1"/>
        <w:ind w:right="1"/>
        <w:rPr>
          <w:rFonts w:cstheme="minorHAnsi"/>
          <w:color w:val="FF0000"/>
        </w:rPr>
      </w:pPr>
    </w:p>
    <w:p w14:paraId="2C355C80" w14:textId="1BCE97CC" w:rsidR="00202FCE" w:rsidRDefault="00202FCE" w:rsidP="0DBAADDF">
      <w:pPr>
        <w:autoSpaceDE w:val="0"/>
        <w:autoSpaceDN w:val="0"/>
        <w:spacing w:before="1" w:after="1"/>
        <w:ind w:right="1"/>
        <w:rPr>
          <w:vertAlign w:val="superscript"/>
        </w:rPr>
      </w:pPr>
      <w:r>
        <w:t>Despite the efficacy of our currently available biologic agents, up to 30% of patients do not respond to their prescribed treatment (primary non-response), and another 50% may ultimately lose response to their treatment over time (secondary loss of response).</w:t>
      </w:r>
      <w:r w:rsidRPr="0DBAADDF">
        <w:rPr>
          <w:vertAlign w:val="superscript"/>
        </w:rPr>
        <w:t>1,2</w:t>
      </w:r>
      <w:r>
        <w:t xml:space="preserve"> A significant proportion of these patients may be found to have suboptimal drug levels either due to inadequate dosing or development of anti-drug antibodies, the latter which result in increased drug clearance.</w:t>
      </w:r>
      <w:r w:rsidRPr="0DBAADDF">
        <w:rPr>
          <w:vertAlign w:val="superscript"/>
        </w:rPr>
        <w:t>3</w:t>
      </w:r>
      <w:r>
        <w:t xml:space="preserve"> The practice of therapeutic drug monitoring (TDM), through which drug concentrations and the presence of anti-drug antibodies are measured, is a necessary tool used to understand </w:t>
      </w:r>
      <w:r w:rsidRPr="0DBAADDF">
        <w:rPr>
          <w:i/>
          <w:iCs/>
        </w:rPr>
        <w:t>why</w:t>
      </w:r>
      <w:r>
        <w:t xml:space="preserve"> an individual patient is not responding or has lost response to a therapy. The </w:t>
      </w:r>
      <w:r w:rsidRPr="0DBAADDF">
        <w:t>results of such testing can facilitate decision-making, specifically as to whether a specific biologic can be further dose</w:t>
      </w:r>
      <w:r w:rsidR="4EC37469" w:rsidRPr="0DBAADDF">
        <w:t>-o</w:t>
      </w:r>
      <w:r w:rsidRPr="0DBAADDF">
        <w:t>ptimized to improve clinical response, or if rather a treatment change to a different biologic would be indicated. This helps to improve clinical outcomes and prevent unnecessary biologic switches. An expert consensus statement was published in 2021 following a comprehensive literature review, supporting the use of TDM for all biologics in the setting of primary non-response and secondary loss of response.</w:t>
      </w:r>
      <w:r w:rsidRPr="0DBAADDF">
        <w:rPr>
          <w:vertAlign w:val="superscript"/>
        </w:rPr>
        <w:t>4</w:t>
      </w:r>
    </w:p>
    <w:p w14:paraId="7BD2FC8A" w14:textId="77777777" w:rsidR="00840D08" w:rsidRPr="00840D08" w:rsidRDefault="00840D08" w:rsidP="00840D08">
      <w:pPr>
        <w:autoSpaceDE w:val="0"/>
        <w:autoSpaceDN w:val="0"/>
        <w:spacing w:before="1" w:after="1"/>
        <w:ind w:right="1"/>
        <w:rPr>
          <w:rFonts w:cstheme="minorHAnsi"/>
          <w:vertAlign w:val="superscript"/>
        </w:rPr>
      </w:pPr>
    </w:p>
    <w:p w14:paraId="71DBEBBD" w14:textId="07156EFB" w:rsidR="00847392" w:rsidRDefault="00840D08" w:rsidP="00847392">
      <w:pPr>
        <w:rPr>
          <w:rFonts w:cstheme="minorHAnsi"/>
          <w:color w:val="000000"/>
        </w:rPr>
      </w:pPr>
      <w:r>
        <w:rPr>
          <w:rFonts w:cstheme="minorHAnsi"/>
        </w:rPr>
        <w:t>There is ample data to support the</w:t>
      </w:r>
      <w:r w:rsidR="00847392">
        <w:rPr>
          <w:rFonts w:cstheme="minorHAnsi"/>
        </w:rPr>
        <w:t xml:space="preserve"> </w:t>
      </w:r>
      <w:r>
        <w:rPr>
          <w:rFonts w:cstheme="minorHAnsi"/>
        </w:rPr>
        <w:t>use of TDM</w:t>
      </w:r>
      <w:r w:rsidR="00847392">
        <w:rPr>
          <w:rFonts w:cstheme="minorHAnsi"/>
        </w:rPr>
        <w:t xml:space="preserve"> with vedolizumab therapy in the setting of primary nonresponse or loss-of-response to treatment.</w:t>
      </w:r>
      <w:r w:rsidR="007F5121">
        <w:rPr>
          <w:rFonts w:cstheme="minorHAnsi"/>
          <w:vertAlign w:val="superscript"/>
        </w:rPr>
        <w:t>5-14</w:t>
      </w:r>
      <w:r w:rsidR="00847392">
        <w:rPr>
          <w:rFonts w:cstheme="minorHAnsi"/>
        </w:rPr>
        <w:t xml:space="preserve"> Vedolizumab trough concentrations 12-15 mcg/mL have been associated with clinical or endoscopic remission.</w:t>
      </w:r>
      <w:r w:rsidR="007F5121">
        <w:rPr>
          <w:rFonts w:cstheme="minorHAnsi"/>
          <w:vertAlign w:val="superscript"/>
        </w:rPr>
        <w:t>6,8,14</w:t>
      </w:r>
      <w:r w:rsidR="00847392">
        <w:rPr>
          <w:rFonts w:cstheme="minorHAnsi"/>
        </w:rPr>
        <w:t xml:space="preserve"> In </w:t>
      </w:r>
      <w:r w:rsidR="00847392" w:rsidRPr="00755C8E">
        <w:rPr>
          <w:rFonts w:cstheme="minorHAnsi"/>
        </w:rPr>
        <w:t xml:space="preserve">clinical trials, approximately 4% of vedolizumab treated patients developed anti-drug antibodies, which may impact drug clearance and result in lower trough concentrations with reduced efficacy of the drug itself. </w:t>
      </w:r>
      <w:r w:rsidR="00847392" w:rsidRPr="00AC3F27">
        <w:rPr>
          <w:rFonts w:cstheme="minorHAnsi"/>
          <w:color w:val="000000"/>
        </w:rPr>
        <w:t xml:space="preserve">The </w:t>
      </w:r>
      <w:r w:rsidR="00847392">
        <w:rPr>
          <w:rFonts w:cstheme="minorHAnsi"/>
          <w:color w:val="000000"/>
        </w:rPr>
        <w:t>referenced</w:t>
      </w:r>
      <w:r w:rsidR="00847392" w:rsidRPr="00AC3F27">
        <w:rPr>
          <w:rFonts w:cstheme="minorHAnsi"/>
          <w:color w:val="000000"/>
        </w:rPr>
        <w:t xml:space="preserve"> papers </w:t>
      </w:r>
      <w:r w:rsidR="00847392" w:rsidRPr="00AC3F27">
        <w:rPr>
          <w:rFonts w:cstheme="minorHAnsi"/>
          <w:color w:val="000000"/>
        </w:rPr>
        <w:lastRenderedPageBreak/>
        <w:t xml:space="preserve">show that therapeutic drug monitoring of biologics is rapidly becoming a standard of care in the field of </w:t>
      </w:r>
      <w:r>
        <w:rPr>
          <w:rFonts w:cstheme="minorHAnsi"/>
          <w:color w:val="000000"/>
        </w:rPr>
        <w:t xml:space="preserve">inflammatory bowel disease. </w:t>
      </w:r>
      <w:r w:rsidR="00847392" w:rsidRPr="00AC3F27">
        <w:rPr>
          <w:rFonts w:cstheme="minorHAnsi"/>
          <w:color w:val="000000"/>
        </w:rPr>
        <w:t> </w:t>
      </w:r>
    </w:p>
    <w:p w14:paraId="17F831C7" w14:textId="23536D7C" w:rsidR="0039272E" w:rsidRDefault="0039272E" w:rsidP="0DBAADDF">
      <w:pPr>
        <w:autoSpaceDE w:val="0"/>
        <w:autoSpaceDN w:val="0"/>
        <w:spacing w:before="1" w:after="1"/>
        <w:ind w:right="1"/>
        <w:rPr>
          <w:color w:val="000000"/>
        </w:rPr>
      </w:pPr>
      <w:r w:rsidRPr="0DBAADDF">
        <w:rPr>
          <w:color w:val="000000" w:themeColor="text1"/>
        </w:rPr>
        <w:t xml:space="preserve">In this clinical setting where </w:t>
      </w:r>
      <w:r w:rsidRPr="0DBAADDF">
        <w:rPr>
          <w:color w:val="FF0000"/>
        </w:rPr>
        <w:t>PATIENT</w:t>
      </w:r>
      <w:r w:rsidRPr="0DBAADDF">
        <w:rPr>
          <w:color w:val="000000" w:themeColor="text1"/>
        </w:rPr>
        <w:t xml:space="preserve"> has </w:t>
      </w:r>
      <w:r w:rsidRPr="0DBAADDF">
        <w:rPr>
          <w:color w:val="FF0000"/>
        </w:rPr>
        <w:t>NOT RESPONDED/LOST RESPONSE</w:t>
      </w:r>
      <w:r w:rsidRPr="0DBAADDF">
        <w:rPr>
          <w:color w:val="000000" w:themeColor="text1"/>
        </w:rPr>
        <w:t xml:space="preserve"> to </w:t>
      </w:r>
      <w:r w:rsidR="7D6FDAF3" w:rsidRPr="0DBAADDF">
        <w:rPr>
          <w:color w:val="000000" w:themeColor="text1"/>
        </w:rPr>
        <w:t>vedolizumab</w:t>
      </w:r>
      <w:r w:rsidRPr="0DBAADDF">
        <w:rPr>
          <w:color w:val="000000" w:themeColor="text1"/>
        </w:rPr>
        <w:t xml:space="preserve">, it was entirely appropriate to pursue TDM </w:t>
      </w:r>
      <w:r w:rsidR="008E634F" w:rsidRPr="0DBAADDF">
        <w:rPr>
          <w:color w:val="000000" w:themeColor="text1"/>
        </w:rPr>
        <w:t>to</w:t>
      </w:r>
      <w:r w:rsidRPr="0DBAADDF">
        <w:rPr>
          <w:color w:val="000000" w:themeColor="text1"/>
        </w:rPr>
        <w:t xml:space="preserve"> determine whether the dose of vedolizumab could be optimized or if we would need to consider switching to a different mechanism of action altogether.  The referenced papers show that TDM with biologics is rapidly becoming a standard of care in the field of inflammatory bowel disease.  </w:t>
      </w:r>
    </w:p>
    <w:p w14:paraId="1DC30BFE" w14:textId="77777777" w:rsidR="00BD04B3" w:rsidRPr="00BD04B3" w:rsidRDefault="00BD04B3" w:rsidP="00BD04B3">
      <w:pPr>
        <w:autoSpaceDE w:val="0"/>
        <w:autoSpaceDN w:val="0"/>
        <w:spacing w:before="1" w:after="1"/>
        <w:ind w:right="1"/>
        <w:rPr>
          <w:rFonts w:cstheme="minorHAnsi"/>
          <w:color w:val="000000"/>
        </w:rPr>
      </w:pPr>
    </w:p>
    <w:p w14:paraId="7A98FAF0" w14:textId="1F6A6254" w:rsidR="00847392" w:rsidRDefault="00BD04B3" w:rsidP="00847392">
      <w:pPr>
        <w:autoSpaceDE w:val="0"/>
        <w:autoSpaceDN w:val="0"/>
        <w:spacing w:before="1" w:after="1"/>
        <w:ind w:right="1"/>
        <w:rPr>
          <w:rFonts w:cstheme="minorHAnsi"/>
          <w:color w:val="000000"/>
        </w:rPr>
      </w:pPr>
      <w:r>
        <w:rPr>
          <w:rFonts w:cstheme="minorHAnsi"/>
          <w:color w:val="000000"/>
        </w:rPr>
        <w:t>For these reasons, we ask that you p</w:t>
      </w:r>
      <w:r w:rsidR="00847392">
        <w:rPr>
          <w:rFonts w:cstheme="minorHAnsi"/>
          <w:color w:val="000000"/>
        </w:rPr>
        <w:t xml:space="preserve">lease reconsider </w:t>
      </w:r>
      <w:r>
        <w:rPr>
          <w:rFonts w:cstheme="minorHAnsi"/>
          <w:color w:val="000000"/>
        </w:rPr>
        <w:t xml:space="preserve">your </w:t>
      </w:r>
      <w:r w:rsidR="00847392">
        <w:rPr>
          <w:rFonts w:cstheme="minorHAnsi"/>
          <w:color w:val="000000"/>
        </w:rPr>
        <w:t xml:space="preserve">decision to deny payment for the vedolizumab trough test. </w:t>
      </w:r>
      <w:r w:rsidR="00847392" w:rsidRPr="00AC3F27">
        <w:rPr>
          <w:rFonts w:cstheme="minorHAnsi"/>
          <w:color w:val="000000"/>
        </w:rPr>
        <w:t>Feel free to contact me if you require additional information.</w:t>
      </w:r>
    </w:p>
    <w:p w14:paraId="50CA15D3" w14:textId="73B427E0" w:rsidR="00847392" w:rsidRDefault="00847392" w:rsidP="00847392">
      <w:pPr>
        <w:autoSpaceDE w:val="0"/>
        <w:autoSpaceDN w:val="0"/>
        <w:spacing w:before="1" w:after="1"/>
        <w:ind w:right="1"/>
        <w:rPr>
          <w:rFonts w:cstheme="minorHAnsi"/>
          <w:color w:val="000000"/>
        </w:rPr>
      </w:pPr>
    </w:p>
    <w:p w14:paraId="616AAF9D" w14:textId="7D98871E" w:rsidR="00847392" w:rsidRDefault="00847392" w:rsidP="00847392">
      <w:pPr>
        <w:autoSpaceDE w:val="0"/>
        <w:autoSpaceDN w:val="0"/>
        <w:spacing w:before="1" w:after="1"/>
        <w:ind w:right="1"/>
        <w:rPr>
          <w:rFonts w:cstheme="minorHAnsi"/>
          <w:color w:val="000000"/>
        </w:rPr>
      </w:pPr>
      <w:r>
        <w:rPr>
          <w:rFonts w:cstheme="minorHAnsi"/>
          <w:color w:val="000000"/>
        </w:rPr>
        <w:t>Sincerely,</w:t>
      </w:r>
    </w:p>
    <w:p w14:paraId="5F847A70" w14:textId="785A144B" w:rsidR="00847392" w:rsidRDefault="00847392" w:rsidP="00847392">
      <w:pPr>
        <w:autoSpaceDE w:val="0"/>
        <w:autoSpaceDN w:val="0"/>
        <w:spacing w:before="1" w:after="1"/>
        <w:ind w:right="1"/>
        <w:rPr>
          <w:rFonts w:cstheme="minorHAnsi"/>
          <w:color w:val="000000"/>
        </w:rPr>
      </w:pPr>
    </w:p>
    <w:p w14:paraId="32C979E2" w14:textId="4BC65FCC" w:rsidR="00847392" w:rsidRPr="00AC3F27" w:rsidRDefault="00847392" w:rsidP="00847392">
      <w:pPr>
        <w:autoSpaceDE w:val="0"/>
        <w:autoSpaceDN w:val="0"/>
        <w:spacing w:before="1" w:after="1"/>
        <w:ind w:right="1"/>
        <w:rPr>
          <w:rFonts w:cstheme="minorHAnsi"/>
          <w:color w:val="000000"/>
        </w:rPr>
      </w:pPr>
      <w:r>
        <w:rPr>
          <w:rFonts w:cstheme="minorHAnsi"/>
          <w:color w:val="000000"/>
        </w:rPr>
        <w:t>DOCTOR</w:t>
      </w:r>
    </w:p>
    <w:p w14:paraId="2EF52629" w14:textId="77777777" w:rsidR="00847392" w:rsidRPr="00755C8E" w:rsidRDefault="00847392" w:rsidP="00847392">
      <w:pPr>
        <w:rPr>
          <w:rFonts w:cstheme="minorHAnsi"/>
        </w:rPr>
      </w:pPr>
    </w:p>
    <w:p w14:paraId="65588467" w14:textId="77777777" w:rsidR="00840D08" w:rsidRPr="00AC3F27" w:rsidRDefault="00840D08" w:rsidP="00840D08">
      <w:pPr>
        <w:shd w:val="clear" w:color="auto" w:fill="FFFFFF"/>
        <w:spacing w:before="420" w:after="300"/>
        <w:rPr>
          <w:rFonts w:cstheme="minorHAnsi"/>
          <w:color w:val="000000"/>
        </w:rPr>
      </w:pPr>
      <w:r w:rsidRPr="00AC3F27">
        <w:rPr>
          <w:rFonts w:cstheme="minorHAnsi"/>
          <w:b/>
          <w:bCs/>
          <w:caps/>
          <w:color w:val="000000"/>
        </w:rPr>
        <w:t>CLINICAL REFERENCE</w:t>
      </w:r>
      <w:r>
        <w:rPr>
          <w:rFonts w:cstheme="minorHAnsi"/>
          <w:b/>
          <w:bCs/>
          <w:caps/>
          <w:color w:val="000000"/>
        </w:rPr>
        <w:t>s</w:t>
      </w:r>
      <w:r w:rsidRPr="00AC3F27">
        <w:rPr>
          <w:rFonts w:cstheme="minorHAnsi"/>
          <w:color w:val="000000"/>
        </w:rPr>
        <w:t> </w:t>
      </w:r>
    </w:p>
    <w:p w14:paraId="0FDC57DC" w14:textId="77777777" w:rsidR="00840D08" w:rsidRPr="005843FD" w:rsidRDefault="00840D08" w:rsidP="00840D08">
      <w:pPr>
        <w:pStyle w:val="ListParagraph"/>
        <w:numPr>
          <w:ilvl w:val="0"/>
          <w:numId w:val="1"/>
        </w:numPr>
        <w:shd w:val="clear" w:color="auto" w:fill="FFFFFF"/>
        <w:spacing w:after="0" w:line="240" w:lineRule="auto"/>
        <w:rPr>
          <w:rFonts w:eastAsia="Times New Roman" w:cstheme="minorHAnsi"/>
          <w:color w:val="232323"/>
        </w:rPr>
      </w:pPr>
      <w:proofErr w:type="spellStart"/>
      <w:r w:rsidRPr="005843FD">
        <w:rPr>
          <w:rFonts w:eastAsia="Times New Roman" w:cstheme="minorHAnsi"/>
          <w:color w:val="232323"/>
        </w:rPr>
        <w:t>Vande</w:t>
      </w:r>
      <w:proofErr w:type="spellEnd"/>
      <w:r w:rsidRPr="005843FD">
        <w:rPr>
          <w:rFonts w:eastAsia="Times New Roman" w:cstheme="minorHAnsi"/>
          <w:color w:val="232323"/>
        </w:rPr>
        <w:t xml:space="preserve"> </w:t>
      </w:r>
      <w:proofErr w:type="spellStart"/>
      <w:r w:rsidRPr="005843FD">
        <w:rPr>
          <w:rFonts w:eastAsia="Times New Roman" w:cstheme="minorHAnsi"/>
          <w:color w:val="232323"/>
        </w:rPr>
        <w:t>Casteele</w:t>
      </w:r>
      <w:proofErr w:type="spellEnd"/>
      <w:r w:rsidRPr="005843FD">
        <w:rPr>
          <w:rFonts w:eastAsia="Times New Roman" w:cstheme="minorHAnsi"/>
          <w:color w:val="232323"/>
        </w:rPr>
        <w:t xml:space="preserve"> N, </w:t>
      </w:r>
      <w:proofErr w:type="spellStart"/>
      <w:r w:rsidRPr="005843FD">
        <w:rPr>
          <w:rFonts w:eastAsia="Times New Roman" w:cstheme="minorHAnsi"/>
          <w:color w:val="232323"/>
        </w:rPr>
        <w:t>Herfarth</w:t>
      </w:r>
      <w:proofErr w:type="spellEnd"/>
      <w:r w:rsidRPr="005843FD">
        <w:rPr>
          <w:rFonts w:eastAsia="Times New Roman" w:cstheme="minorHAnsi"/>
          <w:color w:val="232323"/>
        </w:rPr>
        <w:t xml:space="preserve"> H, Katz J, et al. American Gastroenterological Association institute technical review on the role of therapeutic drug monitoring in the management of inflammatory bowel Diseases. Gastroenterology </w:t>
      </w:r>
      <w:proofErr w:type="gramStart"/>
      <w:r w:rsidRPr="005843FD">
        <w:rPr>
          <w:rFonts w:eastAsia="Times New Roman" w:cstheme="minorHAnsi"/>
          <w:color w:val="232323"/>
        </w:rPr>
        <w:t>2017;153:835</w:t>
      </w:r>
      <w:proofErr w:type="gramEnd"/>
      <w:r w:rsidRPr="005843FD">
        <w:rPr>
          <w:rFonts w:eastAsia="Times New Roman" w:cstheme="minorHAnsi"/>
          <w:color w:val="232323"/>
        </w:rPr>
        <w:t>–57.</w:t>
      </w:r>
    </w:p>
    <w:p w14:paraId="132350BE" w14:textId="77777777" w:rsidR="00840D08" w:rsidRPr="00ED4DE7" w:rsidRDefault="00840D08" w:rsidP="00840D08">
      <w:pPr>
        <w:shd w:val="clear" w:color="auto" w:fill="FFFFFF"/>
        <w:spacing w:after="0" w:line="240" w:lineRule="auto"/>
        <w:ind w:left="720"/>
        <w:rPr>
          <w:rFonts w:eastAsia="Times New Roman" w:cstheme="minorHAnsi"/>
          <w:color w:val="232323"/>
        </w:rPr>
      </w:pPr>
      <w:r w:rsidRPr="00ED4DE7">
        <w:rPr>
          <w:rFonts w:eastAsia="Times New Roman" w:cstheme="minorHAnsi"/>
          <w:color w:val="232323"/>
        </w:rPr>
        <w:t> </w:t>
      </w:r>
    </w:p>
    <w:p w14:paraId="4CDD36E1" w14:textId="77777777" w:rsidR="00840D08" w:rsidRPr="005843FD" w:rsidRDefault="00840D08" w:rsidP="00840D08">
      <w:pPr>
        <w:pStyle w:val="ListParagraph"/>
        <w:numPr>
          <w:ilvl w:val="0"/>
          <w:numId w:val="1"/>
        </w:numPr>
        <w:shd w:val="clear" w:color="auto" w:fill="FFFFFF"/>
        <w:spacing w:after="0" w:line="240" w:lineRule="auto"/>
        <w:rPr>
          <w:rFonts w:eastAsia="Times New Roman" w:cstheme="minorHAnsi"/>
          <w:color w:val="232323"/>
        </w:rPr>
      </w:pPr>
      <w:r w:rsidRPr="005843FD">
        <w:rPr>
          <w:rFonts w:eastAsia="Times New Roman" w:cstheme="minorHAnsi"/>
          <w:color w:val="232323"/>
        </w:rPr>
        <w:t xml:space="preserve">Sparrow MP, </w:t>
      </w:r>
      <w:proofErr w:type="spellStart"/>
      <w:r w:rsidRPr="005843FD">
        <w:rPr>
          <w:rFonts w:eastAsia="Times New Roman" w:cstheme="minorHAnsi"/>
          <w:color w:val="232323"/>
        </w:rPr>
        <w:t>Papamichael</w:t>
      </w:r>
      <w:proofErr w:type="spellEnd"/>
      <w:r w:rsidRPr="005843FD">
        <w:rPr>
          <w:rFonts w:eastAsia="Times New Roman" w:cstheme="minorHAnsi"/>
          <w:color w:val="232323"/>
        </w:rPr>
        <w:t xml:space="preserve"> K, Ward MG, et al. Therapeutic drug monitoring of biologics during induction to prevent primary non-response. J </w:t>
      </w:r>
      <w:proofErr w:type="spellStart"/>
      <w:r w:rsidRPr="005843FD">
        <w:rPr>
          <w:rFonts w:eastAsia="Times New Roman" w:cstheme="minorHAnsi"/>
          <w:color w:val="232323"/>
        </w:rPr>
        <w:t>Crohns</w:t>
      </w:r>
      <w:proofErr w:type="spellEnd"/>
      <w:r w:rsidRPr="005843FD">
        <w:rPr>
          <w:rFonts w:eastAsia="Times New Roman" w:cstheme="minorHAnsi"/>
          <w:color w:val="232323"/>
        </w:rPr>
        <w:t xml:space="preserve"> Colitis </w:t>
      </w:r>
      <w:proofErr w:type="gramStart"/>
      <w:r w:rsidRPr="005843FD">
        <w:rPr>
          <w:rFonts w:eastAsia="Times New Roman" w:cstheme="minorHAnsi"/>
          <w:color w:val="232323"/>
        </w:rPr>
        <w:t>2020;14:542</w:t>
      </w:r>
      <w:proofErr w:type="gramEnd"/>
      <w:r w:rsidRPr="005843FD">
        <w:rPr>
          <w:rFonts w:eastAsia="Times New Roman" w:cstheme="minorHAnsi"/>
          <w:color w:val="232323"/>
        </w:rPr>
        <w:t>–56.</w:t>
      </w:r>
    </w:p>
    <w:p w14:paraId="5D8F35DF" w14:textId="77777777" w:rsidR="00840D08" w:rsidRDefault="00840D08" w:rsidP="00840D08">
      <w:pPr>
        <w:shd w:val="clear" w:color="auto" w:fill="FFFFFF"/>
        <w:spacing w:after="0" w:line="240" w:lineRule="auto"/>
        <w:rPr>
          <w:rFonts w:cstheme="minorHAnsi"/>
          <w:color w:val="232323"/>
          <w:shd w:val="clear" w:color="auto" w:fill="FFFFFF"/>
        </w:rPr>
      </w:pPr>
    </w:p>
    <w:p w14:paraId="5A128793" w14:textId="77777777" w:rsidR="00840D08" w:rsidRPr="005843FD" w:rsidRDefault="00840D08" w:rsidP="00840D08">
      <w:pPr>
        <w:pStyle w:val="ListParagraph"/>
        <w:numPr>
          <w:ilvl w:val="0"/>
          <w:numId w:val="1"/>
        </w:numPr>
        <w:shd w:val="clear" w:color="auto" w:fill="FFFFFF"/>
        <w:spacing w:after="0" w:line="240" w:lineRule="auto"/>
        <w:rPr>
          <w:rFonts w:eastAsia="Times New Roman" w:cstheme="minorHAnsi"/>
          <w:color w:val="232323"/>
          <w:kern w:val="0"/>
          <w14:ligatures w14:val="none"/>
        </w:rPr>
      </w:pPr>
      <w:proofErr w:type="spellStart"/>
      <w:r w:rsidRPr="005843FD">
        <w:rPr>
          <w:rFonts w:cstheme="minorHAnsi"/>
          <w:color w:val="232323"/>
          <w:shd w:val="clear" w:color="auto" w:fill="FFFFFF"/>
        </w:rPr>
        <w:t>Vermeire</w:t>
      </w:r>
      <w:proofErr w:type="spellEnd"/>
      <w:r w:rsidRPr="005843FD">
        <w:rPr>
          <w:rFonts w:cstheme="minorHAnsi"/>
          <w:color w:val="232323"/>
          <w:shd w:val="clear" w:color="auto" w:fill="FFFFFF"/>
        </w:rPr>
        <w:t xml:space="preserve"> S, </w:t>
      </w:r>
      <w:proofErr w:type="spellStart"/>
      <w:r w:rsidRPr="005843FD">
        <w:rPr>
          <w:rFonts w:cstheme="minorHAnsi"/>
          <w:color w:val="232323"/>
          <w:shd w:val="clear" w:color="auto" w:fill="FFFFFF"/>
        </w:rPr>
        <w:t>Dreesen</w:t>
      </w:r>
      <w:proofErr w:type="spellEnd"/>
      <w:r w:rsidRPr="005843FD">
        <w:rPr>
          <w:rFonts w:cstheme="minorHAnsi"/>
          <w:color w:val="232323"/>
          <w:shd w:val="clear" w:color="auto" w:fill="FFFFFF"/>
        </w:rPr>
        <w:t xml:space="preserve"> E, </w:t>
      </w:r>
      <w:proofErr w:type="spellStart"/>
      <w:r w:rsidRPr="005843FD">
        <w:rPr>
          <w:rFonts w:cstheme="minorHAnsi"/>
          <w:color w:val="232323"/>
          <w:shd w:val="clear" w:color="auto" w:fill="FFFFFF"/>
        </w:rPr>
        <w:t>Papamichael</w:t>
      </w:r>
      <w:proofErr w:type="spellEnd"/>
      <w:r w:rsidRPr="005843FD">
        <w:rPr>
          <w:rFonts w:cstheme="minorHAnsi"/>
          <w:color w:val="232323"/>
          <w:shd w:val="clear" w:color="auto" w:fill="FFFFFF"/>
        </w:rPr>
        <w:t xml:space="preserve"> K, et al. How, when, and for whom should we perform therapeutic drug monitoring? Clin Gastroenterol Hepatol </w:t>
      </w:r>
      <w:proofErr w:type="gramStart"/>
      <w:r w:rsidRPr="005843FD">
        <w:rPr>
          <w:rFonts w:cstheme="minorHAnsi"/>
          <w:color w:val="232323"/>
          <w:shd w:val="clear" w:color="auto" w:fill="FFFFFF"/>
        </w:rPr>
        <w:t>2020;18:1291</w:t>
      </w:r>
      <w:proofErr w:type="gramEnd"/>
      <w:r w:rsidRPr="005843FD">
        <w:rPr>
          <w:rFonts w:cstheme="minorHAnsi"/>
          <w:color w:val="232323"/>
          <w:shd w:val="clear" w:color="auto" w:fill="FFFFFF"/>
        </w:rPr>
        <w:t>–9.</w:t>
      </w:r>
    </w:p>
    <w:p w14:paraId="13E7EAE5" w14:textId="77777777" w:rsidR="00840D08" w:rsidRPr="00C66BB1" w:rsidRDefault="00840D08" w:rsidP="00840D08">
      <w:pPr>
        <w:pStyle w:val="ListParagraph"/>
        <w:spacing w:line="240" w:lineRule="auto"/>
        <w:rPr>
          <w:rFonts w:eastAsia="Times New Roman" w:cstheme="minorHAnsi"/>
          <w:color w:val="232323"/>
          <w:kern w:val="0"/>
          <w14:ligatures w14:val="none"/>
        </w:rPr>
      </w:pPr>
    </w:p>
    <w:p w14:paraId="432B1A86" w14:textId="77777777" w:rsidR="00840D08" w:rsidRDefault="00840D08" w:rsidP="00840D08">
      <w:pPr>
        <w:pStyle w:val="ListParagraph"/>
        <w:numPr>
          <w:ilvl w:val="0"/>
          <w:numId w:val="1"/>
        </w:numPr>
        <w:shd w:val="clear" w:color="auto" w:fill="FFFFFF"/>
        <w:spacing w:after="0" w:line="240" w:lineRule="auto"/>
        <w:rPr>
          <w:rFonts w:eastAsia="Times New Roman" w:cstheme="minorHAnsi"/>
          <w:color w:val="232323"/>
        </w:rPr>
      </w:pPr>
      <w:r w:rsidRPr="005843FD">
        <w:rPr>
          <w:rFonts w:eastAsia="Times New Roman" w:cstheme="minorHAnsi"/>
          <w:color w:val="232323"/>
        </w:rPr>
        <w:t xml:space="preserve">Cheifetz AS, Abreu MR, </w:t>
      </w:r>
      <w:proofErr w:type="spellStart"/>
      <w:r w:rsidRPr="005843FD">
        <w:rPr>
          <w:rFonts w:eastAsia="Times New Roman" w:cstheme="minorHAnsi"/>
          <w:color w:val="232323"/>
        </w:rPr>
        <w:t>Afif</w:t>
      </w:r>
      <w:proofErr w:type="spellEnd"/>
      <w:r w:rsidRPr="005843FD">
        <w:rPr>
          <w:rFonts w:eastAsia="Times New Roman" w:cstheme="minorHAnsi"/>
          <w:color w:val="232323"/>
        </w:rPr>
        <w:t xml:space="preserve"> W, et al. A Comprehensive Literature Review and Expert Consensus Statement on Therapeutic Drug Monitoring of Biologics in Inflammatory Bowel Disease. Am J Gastroenterol. 2021 Oct;116(10):2014-25. </w:t>
      </w:r>
    </w:p>
    <w:p w14:paraId="2016DDD3" w14:textId="77777777" w:rsidR="007F5121" w:rsidRPr="007F5121" w:rsidRDefault="007F5121" w:rsidP="007F5121">
      <w:pPr>
        <w:pStyle w:val="ListParagraph"/>
        <w:rPr>
          <w:rFonts w:eastAsia="Times New Roman" w:cstheme="minorHAnsi"/>
          <w:color w:val="232323"/>
        </w:rPr>
      </w:pPr>
    </w:p>
    <w:p w14:paraId="7715F2F7" w14:textId="070C57B3" w:rsidR="007F5121" w:rsidRPr="007F5121" w:rsidRDefault="007F5121" w:rsidP="00840D08">
      <w:pPr>
        <w:pStyle w:val="ListParagraph"/>
        <w:numPr>
          <w:ilvl w:val="0"/>
          <w:numId w:val="1"/>
        </w:numPr>
        <w:shd w:val="clear" w:color="auto" w:fill="FFFFFF"/>
        <w:spacing w:after="0" w:line="240" w:lineRule="auto"/>
        <w:rPr>
          <w:rFonts w:eastAsia="Times New Roman" w:cstheme="minorHAnsi"/>
          <w:color w:val="232323"/>
        </w:rPr>
      </w:pPr>
      <w:proofErr w:type="spellStart"/>
      <w:r w:rsidRPr="00755C8E">
        <w:rPr>
          <w:rFonts w:eastAsia="Times New Roman" w:cstheme="minorHAnsi"/>
          <w:color w:val="000000"/>
        </w:rPr>
        <w:t>Williet</w:t>
      </w:r>
      <w:proofErr w:type="spellEnd"/>
      <w:r w:rsidRPr="00755C8E">
        <w:rPr>
          <w:rFonts w:eastAsia="Times New Roman" w:cstheme="minorHAnsi"/>
          <w:color w:val="000000"/>
        </w:rPr>
        <w:t xml:space="preserve"> N, </w:t>
      </w:r>
      <w:proofErr w:type="spellStart"/>
      <w:r w:rsidRPr="00755C8E">
        <w:rPr>
          <w:rFonts w:eastAsia="Times New Roman" w:cstheme="minorHAnsi"/>
          <w:color w:val="000000"/>
        </w:rPr>
        <w:t>Boschetti</w:t>
      </w:r>
      <w:proofErr w:type="spellEnd"/>
      <w:r w:rsidRPr="00755C8E">
        <w:rPr>
          <w:rFonts w:eastAsia="Times New Roman" w:cstheme="minorHAnsi"/>
          <w:color w:val="000000"/>
        </w:rPr>
        <w:t xml:space="preserve"> G, </w:t>
      </w:r>
      <w:proofErr w:type="spellStart"/>
      <w:r w:rsidRPr="00755C8E">
        <w:rPr>
          <w:rFonts w:eastAsia="Times New Roman" w:cstheme="minorHAnsi"/>
          <w:color w:val="000000"/>
        </w:rPr>
        <w:t>Fovet</w:t>
      </w:r>
      <w:proofErr w:type="spellEnd"/>
      <w:r w:rsidRPr="00755C8E">
        <w:rPr>
          <w:rFonts w:eastAsia="Times New Roman" w:cstheme="minorHAnsi"/>
          <w:color w:val="000000"/>
        </w:rPr>
        <w:t xml:space="preserve"> M, et al: Association between low trough levels of vedolizumab during induction therapy for inflammatory bowel diseases and need for additional doses within 6 months. Clin Gastroenterol Hepatol. 2017 Nov;15(11):1750-1757.e3</w:t>
      </w:r>
    </w:p>
    <w:p w14:paraId="1E08FD17" w14:textId="77777777" w:rsidR="007F5121" w:rsidRPr="007F5121" w:rsidRDefault="007F5121" w:rsidP="007F5121">
      <w:pPr>
        <w:pStyle w:val="ListParagraph"/>
        <w:rPr>
          <w:rFonts w:eastAsia="Times New Roman" w:cstheme="minorHAnsi"/>
          <w:color w:val="232323"/>
        </w:rPr>
      </w:pPr>
    </w:p>
    <w:p w14:paraId="3893ED72" w14:textId="641ACF94" w:rsidR="007F5121" w:rsidRPr="007F5121" w:rsidRDefault="007F5121" w:rsidP="00840D08">
      <w:pPr>
        <w:pStyle w:val="ListParagraph"/>
        <w:numPr>
          <w:ilvl w:val="0"/>
          <w:numId w:val="1"/>
        </w:numPr>
        <w:shd w:val="clear" w:color="auto" w:fill="FFFFFF"/>
        <w:spacing w:after="0" w:line="240" w:lineRule="auto"/>
        <w:rPr>
          <w:rFonts w:eastAsia="Times New Roman" w:cstheme="minorHAnsi"/>
          <w:color w:val="232323"/>
        </w:rPr>
      </w:pPr>
      <w:proofErr w:type="spellStart"/>
      <w:r w:rsidRPr="00755C8E">
        <w:rPr>
          <w:rFonts w:eastAsia="Times New Roman" w:cstheme="minorHAnsi"/>
          <w:color w:val="000000"/>
        </w:rPr>
        <w:lastRenderedPageBreak/>
        <w:t>Dreesen</w:t>
      </w:r>
      <w:proofErr w:type="spellEnd"/>
      <w:r w:rsidRPr="00755C8E">
        <w:rPr>
          <w:rFonts w:eastAsia="Times New Roman" w:cstheme="minorHAnsi"/>
          <w:color w:val="000000"/>
        </w:rPr>
        <w:t xml:space="preserve"> E, </w:t>
      </w:r>
      <w:proofErr w:type="spellStart"/>
      <w:r w:rsidRPr="00755C8E">
        <w:rPr>
          <w:rFonts w:eastAsia="Times New Roman" w:cstheme="minorHAnsi"/>
          <w:color w:val="000000"/>
        </w:rPr>
        <w:t>Verstockt</w:t>
      </w:r>
      <w:proofErr w:type="spellEnd"/>
      <w:r w:rsidRPr="00755C8E">
        <w:rPr>
          <w:rFonts w:eastAsia="Times New Roman" w:cstheme="minorHAnsi"/>
          <w:color w:val="000000"/>
        </w:rPr>
        <w:t xml:space="preserve"> B, Bian S, et al: Evidence to support monitoring of vedolizumab trough concentrations in patients with inflammatory bowel diseases. Clin Gastroenterol Hepatol 2018 Dec;16(12):1937-1946 e8</w:t>
      </w:r>
    </w:p>
    <w:p w14:paraId="126A061A" w14:textId="77777777" w:rsidR="007F5121" w:rsidRPr="007F5121" w:rsidRDefault="007F5121" w:rsidP="007F5121">
      <w:pPr>
        <w:pStyle w:val="ListParagraph"/>
        <w:rPr>
          <w:rFonts w:eastAsia="Times New Roman" w:cstheme="minorHAnsi"/>
          <w:color w:val="232323"/>
        </w:rPr>
      </w:pPr>
    </w:p>
    <w:p w14:paraId="64AB15A3" w14:textId="077D0FA1" w:rsidR="007F5121" w:rsidRPr="007F5121" w:rsidRDefault="007F5121" w:rsidP="00840D08">
      <w:pPr>
        <w:pStyle w:val="ListParagraph"/>
        <w:numPr>
          <w:ilvl w:val="0"/>
          <w:numId w:val="1"/>
        </w:numPr>
        <w:shd w:val="clear" w:color="auto" w:fill="FFFFFF"/>
        <w:spacing w:after="0" w:line="240" w:lineRule="auto"/>
        <w:rPr>
          <w:rFonts w:eastAsia="Times New Roman" w:cstheme="minorHAnsi"/>
          <w:color w:val="232323"/>
        </w:rPr>
      </w:pPr>
      <w:r w:rsidRPr="00755C8E">
        <w:rPr>
          <w:rFonts w:eastAsia="Times New Roman" w:cstheme="minorHAnsi"/>
          <w:color w:val="000000"/>
        </w:rPr>
        <w:t xml:space="preserve">Ungar B, Kopylov U, </w:t>
      </w:r>
      <w:proofErr w:type="spellStart"/>
      <w:r w:rsidRPr="00755C8E">
        <w:rPr>
          <w:rFonts w:eastAsia="Times New Roman" w:cstheme="minorHAnsi"/>
          <w:color w:val="000000"/>
        </w:rPr>
        <w:t>Yavzori</w:t>
      </w:r>
      <w:proofErr w:type="spellEnd"/>
      <w:r w:rsidRPr="00755C8E">
        <w:rPr>
          <w:rFonts w:eastAsia="Times New Roman" w:cstheme="minorHAnsi"/>
          <w:color w:val="000000"/>
        </w:rPr>
        <w:t xml:space="preserve"> M, et al: Association of vedolizumab level, anti-drug antibodies, and alpha4beta7 occupancy with response in patients with inflammatory bowel diseases. Clin Gastroenterol Hepatol. 2018 May;16(5):697-705.e7</w:t>
      </w:r>
    </w:p>
    <w:p w14:paraId="0B66BD25" w14:textId="77777777" w:rsidR="007F5121" w:rsidRPr="007F5121" w:rsidRDefault="007F5121" w:rsidP="007F5121">
      <w:pPr>
        <w:pStyle w:val="ListParagraph"/>
        <w:rPr>
          <w:rFonts w:eastAsia="Times New Roman" w:cstheme="minorHAnsi"/>
          <w:color w:val="232323"/>
        </w:rPr>
      </w:pPr>
    </w:p>
    <w:p w14:paraId="13B46A82" w14:textId="36F7E906" w:rsidR="007F5121" w:rsidRPr="007F5121" w:rsidRDefault="007F5121" w:rsidP="00840D08">
      <w:pPr>
        <w:pStyle w:val="ListParagraph"/>
        <w:numPr>
          <w:ilvl w:val="0"/>
          <w:numId w:val="1"/>
        </w:numPr>
        <w:shd w:val="clear" w:color="auto" w:fill="FFFFFF"/>
        <w:spacing w:after="0" w:line="240" w:lineRule="auto"/>
        <w:rPr>
          <w:rFonts w:eastAsia="Times New Roman" w:cstheme="minorHAnsi"/>
          <w:color w:val="232323"/>
        </w:rPr>
      </w:pPr>
      <w:r w:rsidRPr="00755C8E">
        <w:rPr>
          <w:rFonts w:eastAsia="Times New Roman" w:cstheme="minorHAnsi"/>
          <w:color w:val="000000"/>
        </w:rPr>
        <w:t xml:space="preserve">Ward MG, Sparrow MP, Roblin X: Therapeutic drug monitoring of vedolizumab in inflammatory bowel disease: Current data and future directions. </w:t>
      </w:r>
      <w:proofErr w:type="spellStart"/>
      <w:r w:rsidRPr="00755C8E">
        <w:rPr>
          <w:rFonts w:eastAsia="Times New Roman" w:cstheme="minorHAnsi"/>
          <w:color w:val="000000"/>
        </w:rPr>
        <w:t>Therap</w:t>
      </w:r>
      <w:proofErr w:type="spellEnd"/>
      <w:r w:rsidRPr="00755C8E">
        <w:rPr>
          <w:rFonts w:eastAsia="Times New Roman" w:cstheme="minorHAnsi"/>
          <w:color w:val="000000"/>
        </w:rPr>
        <w:t xml:space="preserve"> Adv Gastroenterol. 2018 May </w:t>
      </w:r>
      <w:proofErr w:type="gramStart"/>
      <w:r w:rsidRPr="00755C8E">
        <w:rPr>
          <w:rFonts w:eastAsia="Times New Roman" w:cstheme="minorHAnsi"/>
          <w:color w:val="000000"/>
        </w:rPr>
        <w:t>8;11:1756284818772786</w:t>
      </w:r>
      <w:proofErr w:type="gramEnd"/>
    </w:p>
    <w:p w14:paraId="287C0BA4" w14:textId="77777777" w:rsidR="007F5121" w:rsidRPr="007F5121" w:rsidRDefault="007F5121" w:rsidP="007F5121">
      <w:pPr>
        <w:pStyle w:val="ListParagraph"/>
        <w:rPr>
          <w:rFonts w:eastAsia="Times New Roman" w:cstheme="minorHAnsi"/>
          <w:color w:val="232323"/>
        </w:rPr>
      </w:pPr>
    </w:p>
    <w:p w14:paraId="6DB7EBD7" w14:textId="6306FF7C" w:rsidR="007F5121" w:rsidRDefault="007F5121" w:rsidP="007F5121">
      <w:pPr>
        <w:pStyle w:val="ListParagraph"/>
        <w:numPr>
          <w:ilvl w:val="0"/>
          <w:numId w:val="1"/>
        </w:numPr>
        <w:shd w:val="clear" w:color="auto" w:fill="FFFFFF"/>
        <w:spacing w:after="0" w:line="240" w:lineRule="auto"/>
        <w:rPr>
          <w:rFonts w:eastAsia="Times New Roman" w:cstheme="minorHAnsi"/>
          <w:color w:val="000000"/>
        </w:rPr>
      </w:pPr>
      <w:r w:rsidRPr="007F5121">
        <w:rPr>
          <w:rFonts w:eastAsia="Times New Roman" w:cstheme="minorHAnsi"/>
          <w:color w:val="000000"/>
        </w:rPr>
        <w:t>Pouillon L, Rousseau H, Busby-</w:t>
      </w:r>
      <w:proofErr w:type="spellStart"/>
      <w:r w:rsidRPr="007F5121">
        <w:rPr>
          <w:rFonts w:eastAsia="Times New Roman" w:cstheme="minorHAnsi"/>
          <w:color w:val="000000"/>
        </w:rPr>
        <w:t>Venner</w:t>
      </w:r>
      <w:proofErr w:type="spellEnd"/>
      <w:r w:rsidRPr="007F5121">
        <w:rPr>
          <w:rFonts w:eastAsia="Times New Roman" w:cstheme="minorHAnsi"/>
          <w:color w:val="000000"/>
        </w:rPr>
        <w:t xml:space="preserve"> H, et al: Vedolizumab trough levels and histological healing during maintenance therapy in ulcerative colitis. J </w:t>
      </w:r>
      <w:proofErr w:type="spellStart"/>
      <w:r w:rsidRPr="007F5121">
        <w:rPr>
          <w:rFonts w:eastAsia="Times New Roman" w:cstheme="minorHAnsi"/>
          <w:color w:val="000000"/>
        </w:rPr>
        <w:t>Crohns</w:t>
      </w:r>
      <w:proofErr w:type="spellEnd"/>
      <w:r w:rsidRPr="007F5121">
        <w:rPr>
          <w:rFonts w:eastAsia="Times New Roman" w:cstheme="minorHAnsi"/>
          <w:color w:val="000000"/>
        </w:rPr>
        <w:t xml:space="preserve"> Colitis. 2019 Aug 14;13(8):970-975</w:t>
      </w:r>
    </w:p>
    <w:p w14:paraId="723F596C" w14:textId="77777777" w:rsidR="007F5121" w:rsidRPr="007F5121" w:rsidRDefault="007F5121" w:rsidP="007F5121">
      <w:pPr>
        <w:shd w:val="clear" w:color="auto" w:fill="FFFFFF"/>
        <w:spacing w:after="0" w:line="240" w:lineRule="auto"/>
        <w:rPr>
          <w:rFonts w:eastAsia="Times New Roman" w:cstheme="minorHAnsi"/>
          <w:color w:val="000000"/>
        </w:rPr>
      </w:pPr>
    </w:p>
    <w:p w14:paraId="43DF9BE1" w14:textId="25856C62" w:rsidR="007F5121" w:rsidRDefault="007F5121" w:rsidP="007F5121">
      <w:pPr>
        <w:pStyle w:val="ListParagraph"/>
        <w:numPr>
          <w:ilvl w:val="0"/>
          <w:numId w:val="1"/>
        </w:numPr>
        <w:shd w:val="clear" w:color="auto" w:fill="FFFFFF"/>
        <w:spacing w:after="0" w:line="240" w:lineRule="auto"/>
        <w:rPr>
          <w:rFonts w:eastAsia="Times New Roman" w:cstheme="minorHAnsi"/>
          <w:color w:val="000000"/>
        </w:rPr>
      </w:pPr>
      <w:r w:rsidRPr="007F5121">
        <w:rPr>
          <w:rFonts w:eastAsia="Times New Roman" w:cstheme="minorHAnsi"/>
          <w:color w:val="000000"/>
        </w:rPr>
        <w:t xml:space="preserve">Pouillon L, </w:t>
      </w:r>
      <w:proofErr w:type="spellStart"/>
      <w:r w:rsidRPr="007F5121">
        <w:rPr>
          <w:rFonts w:eastAsia="Times New Roman" w:cstheme="minorHAnsi"/>
          <w:color w:val="000000"/>
        </w:rPr>
        <w:t>Vermeire</w:t>
      </w:r>
      <w:proofErr w:type="spellEnd"/>
      <w:r w:rsidRPr="007F5121">
        <w:rPr>
          <w:rFonts w:eastAsia="Times New Roman" w:cstheme="minorHAnsi"/>
          <w:color w:val="000000"/>
        </w:rPr>
        <w:t xml:space="preserve"> S, </w:t>
      </w:r>
      <w:proofErr w:type="spellStart"/>
      <w:r w:rsidRPr="007F5121">
        <w:rPr>
          <w:rFonts w:eastAsia="Times New Roman" w:cstheme="minorHAnsi"/>
          <w:color w:val="000000"/>
        </w:rPr>
        <w:t>Bossuyt</w:t>
      </w:r>
      <w:proofErr w:type="spellEnd"/>
      <w:r w:rsidRPr="007F5121">
        <w:rPr>
          <w:rFonts w:eastAsia="Times New Roman" w:cstheme="minorHAnsi"/>
          <w:color w:val="000000"/>
        </w:rPr>
        <w:t xml:space="preserve"> P: Vedolizumab trough level monitoring in inflammatory bowel disease: A state-of-the-art overview. BMC Med. 2019 May 8;17(1):89</w:t>
      </w:r>
    </w:p>
    <w:p w14:paraId="2B124801" w14:textId="77777777" w:rsidR="007F5121" w:rsidRPr="007F5121" w:rsidRDefault="007F5121" w:rsidP="007F5121">
      <w:pPr>
        <w:shd w:val="clear" w:color="auto" w:fill="FFFFFF"/>
        <w:spacing w:after="0" w:line="240" w:lineRule="auto"/>
        <w:rPr>
          <w:rFonts w:eastAsia="Times New Roman" w:cstheme="minorHAnsi"/>
          <w:color w:val="000000"/>
        </w:rPr>
      </w:pPr>
    </w:p>
    <w:p w14:paraId="746BDB7B" w14:textId="15E0D93C" w:rsidR="007F5121" w:rsidRDefault="007F5121" w:rsidP="007F5121">
      <w:pPr>
        <w:pStyle w:val="ListParagraph"/>
        <w:numPr>
          <w:ilvl w:val="0"/>
          <w:numId w:val="1"/>
        </w:numPr>
        <w:shd w:val="clear" w:color="auto" w:fill="FFFFFF"/>
        <w:spacing w:after="0" w:line="240" w:lineRule="auto"/>
        <w:rPr>
          <w:rFonts w:eastAsia="Times New Roman" w:cstheme="minorHAnsi"/>
          <w:color w:val="000000"/>
        </w:rPr>
      </w:pPr>
      <w:r w:rsidRPr="007F5121">
        <w:rPr>
          <w:rFonts w:eastAsia="Times New Roman" w:cstheme="minorHAnsi"/>
          <w:color w:val="000000"/>
        </w:rPr>
        <w:t xml:space="preserve">Singh S, </w:t>
      </w:r>
      <w:proofErr w:type="spellStart"/>
      <w:r w:rsidRPr="007F5121">
        <w:rPr>
          <w:rFonts w:eastAsia="Times New Roman" w:cstheme="minorHAnsi"/>
          <w:color w:val="000000"/>
        </w:rPr>
        <w:t>Dulai</w:t>
      </w:r>
      <w:proofErr w:type="spellEnd"/>
      <w:r w:rsidRPr="007F5121">
        <w:rPr>
          <w:rFonts w:eastAsia="Times New Roman" w:cstheme="minorHAnsi"/>
          <w:color w:val="000000"/>
        </w:rPr>
        <w:t xml:space="preserve"> PS, </w:t>
      </w:r>
      <w:proofErr w:type="spellStart"/>
      <w:r w:rsidRPr="007F5121">
        <w:rPr>
          <w:rFonts w:eastAsia="Times New Roman" w:cstheme="minorHAnsi"/>
          <w:color w:val="000000"/>
        </w:rPr>
        <w:t>Vande</w:t>
      </w:r>
      <w:proofErr w:type="spellEnd"/>
      <w:r w:rsidRPr="007F5121">
        <w:rPr>
          <w:rFonts w:eastAsia="Times New Roman" w:cstheme="minorHAnsi"/>
          <w:color w:val="000000"/>
        </w:rPr>
        <w:t xml:space="preserve"> </w:t>
      </w:r>
      <w:proofErr w:type="spellStart"/>
      <w:r w:rsidRPr="007F5121">
        <w:rPr>
          <w:rFonts w:eastAsia="Times New Roman" w:cstheme="minorHAnsi"/>
          <w:color w:val="000000"/>
        </w:rPr>
        <w:t>Casteele</w:t>
      </w:r>
      <w:proofErr w:type="spellEnd"/>
      <w:r w:rsidRPr="007F5121">
        <w:rPr>
          <w:rFonts w:eastAsia="Times New Roman" w:cstheme="minorHAnsi"/>
          <w:color w:val="000000"/>
        </w:rPr>
        <w:t xml:space="preserve"> N, et al: Systematic review with meta-analysis: Association between vedolizumab trough concentration and clinical outcomes in patients with inflammatory bowel diseases. Aliment </w:t>
      </w:r>
      <w:proofErr w:type="spellStart"/>
      <w:r w:rsidRPr="007F5121">
        <w:rPr>
          <w:rFonts w:eastAsia="Times New Roman" w:cstheme="minorHAnsi"/>
          <w:color w:val="000000"/>
        </w:rPr>
        <w:t>Pharmacol</w:t>
      </w:r>
      <w:proofErr w:type="spellEnd"/>
      <w:r w:rsidRPr="007F5121">
        <w:rPr>
          <w:rFonts w:eastAsia="Times New Roman" w:cstheme="minorHAnsi"/>
          <w:color w:val="000000"/>
        </w:rPr>
        <w:t xml:space="preserve"> </w:t>
      </w:r>
      <w:proofErr w:type="spellStart"/>
      <w:r w:rsidRPr="007F5121">
        <w:rPr>
          <w:rFonts w:eastAsia="Times New Roman" w:cstheme="minorHAnsi"/>
          <w:color w:val="000000"/>
        </w:rPr>
        <w:t>Ther</w:t>
      </w:r>
      <w:proofErr w:type="spellEnd"/>
      <w:r w:rsidRPr="007F5121">
        <w:rPr>
          <w:rFonts w:eastAsia="Times New Roman" w:cstheme="minorHAnsi"/>
          <w:color w:val="000000"/>
        </w:rPr>
        <w:t>. 2019 Oct;50(8):848-857</w:t>
      </w:r>
    </w:p>
    <w:p w14:paraId="528E34C4" w14:textId="77777777" w:rsidR="007F5121" w:rsidRPr="007F5121" w:rsidRDefault="007F5121" w:rsidP="007F5121">
      <w:pPr>
        <w:shd w:val="clear" w:color="auto" w:fill="FFFFFF"/>
        <w:spacing w:after="0" w:line="240" w:lineRule="auto"/>
        <w:rPr>
          <w:rFonts w:eastAsia="Times New Roman" w:cstheme="minorHAnsi"/>
          <w:color w:val="000000"/>
        </w:rPr>
      </w:pPr>
    </w:p>
    <w:p w14:paraId="5D8A94D1" w14:textId="70C18E66" w:rsidR="007F5121" w:rsidRDefault="007F5121" w:rsidP="007F5121">
      <w:pPr>
        <w:pStyle w:val="ListParagraph"/>
        <w:numPr>
          <w:ilvl w:val="0"/>
          <w:numId w:val="1"/>
        </w:numPr>
        <w:shd w:val="clear" w:color="auto" w:fill="FFFFFF"/>
        <w:spacing w:after="0" w:line="240" w:lineRule="auto"/>
        <w:rPr>
          <w:rFonts w:eastAsia="Times New Roman" w:cstheme="minorHAnsi"/>
          <w:color w:val="000000"/>
        </w:rPr>
      </w:pPr>
      <w:proofErr w:type="spellStart"/>
      <w:r w:rsidRPr="007F5121">
        <w:rPr>
          <w:rFonts w:eastAsia="Times New Roman" w:cstheme="minorHAnsi"/>
          <w:color w:val="000000"/>
        </w:rPr>
        <w:t>Ungaro</w:t>
      </w:r>
      <w:proofErr w:type="spellEnd"/>
      <w:r w:rsidRPr="007F5121">
        <w:rPr>
          <w:rFonts w:eastAsia="Times New Roman" w:cstheme="minorHAnsi"/>
          <w:color w:val="000000"/>
        </w:rPr>
        <w:t xml:space="preserve"> RC, </w:t>
      </w:r>
      <w:proofErr w:type="spellStart"/>
      <w:r w:rsidRPr="007F5121">
        <w:rPr>
          <w:rFonts w:eastAsia="Times New Roman" w:cstheme="minorHAnsi"/>
          <w:color w:val="000000"/>
        </w:rPr>
        <w:t>Yarur</w:t>
      </w:r>
      <w:proofErr w:type="spellEnd"/>
      <w:r w:rsidRPr="007F5121">
        <w:rPr>
          <w:rFonts w:eastAsia="Times New Roman" w:cstheme="minorHAnsi"/>
          <w:color w:val="000000"/>
        </w:rPr>
        <w:t xml:space="preserve"> A, </w:t>
      </w:r>
      <w:proofErr w:type="spellStart"/>
      <w:r w:rsidRPr="007F5121">
        <w:rPr>
          <w:rFonts w:eastAsia="Times New Roman" w:cstheme="minorHAnsi"/>
          <w:color w:val="000000"/>
        </w:rPr>
        <w:t>Jossen</w:t>
      </w:r>
      <w:proofErr w:type="spellEnd"/>
      <w:r w:rsidRPr="007F5121">
        <w:rPr>
          <w:rFonts w:eastAsia="Times New Roman" w:cstheme="minorHAnsi"/>
          <w:color w:val="000000"/>
        </w:rPr>
        <w:t xml:space="preserve"> J, et al: Higher trough vedolizumab concentrations during maintenance therapy are associated with corticosteroid-free remission in inflammatory bowel disease. J </w:t>
      </w:r>
      <w:proofErr w:type="spellStart"/>
      <w:r w:rsidRPr="007F5121">
        <w:rPr>
          <w:rFonts w:eastAsia="Times New Roman" w:cstheme="minorHAnsi"/>
          <w:color w:val="000000"/>
        </w:rPr>
        <w:t>Crohns</w:t>
      </w:r>
      <w:proofErr w:type="spellEnd"/>
      <w:r w:rsidRPr="007F5121">
        <w:rPr>
          <w:rFonts w:eastAsia="Times New Roman" w:cstheme="minorHAnsi"/>
          <w:color w:val="000000"/>
        </w:rPr>
        <w:t xml:space="preserve"> Colitis. 2019 Aug 14;13(8):963-969</w:t>
      </w:r>
    </w:p>
    <w:p w14:paraId="52B0306F" w14:textId="77777777" w:rsidR="007F5121" w:rsidRPr="007F5121" w:rsidRDefault="007F5121" w:rsidP="007F5121">
      <w:pPr>
        <w:pStyle w:val="ListParagraph"/>
        <w:rPr>
          <w:rFonts w:eastAsia="Times New Roman" w:cstheme="minorHAnsi"/>
          <w:color w:val="000000"/>
        </w:rPr>
      </w:pPr>
    </w:p>
    <w:p w14:paraId="3D1E755A" w14:textId="77777777" w:rsidR="007F5121" w:rsidRDefault="007F5121" w:rsidP="007F5121">
      <w:pPr>
        <w:pStyle w:val="ListParagraph"/>
        <w:numPr>
          <w:ilvl w:val="0"/>
          <w:numId w:val="1"/>
        </w:numPr>
        <w:shd w:val="clear" w:color="auto" w:fill="FFFFFF"/>
        <w:spacing w:after="0" w:line="240" w:lineRule="auto"/>
        <w:rPr>
          <w:rFonts w:eastAsia="Times New Roman" w:cstheme="minorHAnsi"/>
          <w:color w:val="000000"/>
        </w:rPr>
      </w:pPr>
      <w:proofErr w:type="spellStart"/>
      <w:r w:rsidRPr="007F5121">
        <w:rPr>
          <w:rFonts w:eastAsia="Times New Roman" w:cstheme="minorHAnsi"/>
          <w:color w:val="000000"/>
        </w:rPr>
        <w:t>Yarur</w:t>
      </w:r>
      <w:proofErr w:type="spellEnd"/>
      <w:r w:rsidRPr="007F5121">
        <w:rPr>
          <w:rFonts w:eastAsia="Times New Roman" w:cstheme="minorHAnsi"/>
          <w:color w:val="000000"/>
        </w:rPr>
        <w:t xml:space="preserve"> AJ, Bruss A, Naik S, et al: Vedolizumab concentrations are associated with long-term endoscopic remission in patients with inflammatory bowel diseases. Dig Dis Sci. 2019 Jun;64(6):1651-</w:t>
      </w:r>
      <w:proofErr w:type="gramStart"/>
      <w:r w:rsidRPr="007F5121">
        <w:rPr>
          <w:rFonts w:eastAsia="Times New Roman" w:cstheme="minorHAnsi"/>
          <w:color w:val="000000"/>
        </w:rPr>
        <w:t>1659</w:t>
      </w:r>
      <w:proofErr w:type="gramEnd"/>
    </w:p>
    <w:p w14:paraId="03581804" w14:textId="77777777" w:rsidR="007F5121" w:rsidRPr="007F5121" w:rsidRDefault="007F5121" w:rsidP="007F5121">
      <w:pPr>
        <w:pStyle w:val="ListParagraph"/>
        <w:rPr>
          <w:rFonts w:eastAsia="Times New Roman" w:cstheme="minorHAnsi"/>
          <w:color w:val="000000"/>
        </w:rPr>
      </w:pPr>
    </w:p>
    <w:p w14:paraId="47BFE7C1" w14:textId="0A4CE4B0" w:rsidR="00847392" w:rsidRPr="007F5121" w:rsidRDefault="007F5121" w:rsidP="007F5121">
      <w:pPr>
        <w:pStyle w:val="ListParagraph"/>
        <w:numPr>
          <w:ilvl w:val="0"/>
          <w:numId w:val="1"/>
        </w:numPr>
        <w:shd w:val="clear" w:color="auto" w:fill="FFFFFF"/>
        <w:spacing w:after="0" w:line="240" w:lineRule="auto"/>
        <w:rPr>
          <w:rFonts w:eastAsia="Times New Roman" w:cstheme="minorHAnsi"/>
          <w:color w:val="000000"/>
        </w:rPr>
      </w:pPr>
      <w:r w:rsidRPr="007F5121">
        <w:rPr>
          <w:rFonts w:eastAsia="Times New Roman" w:cstheme="minorHAnsi"/>
          <w:color w:val="000000"/>
        </w:rPr>
        <w:t>Al-</w:t>
      </w:r>
      <w:proofErr w:type="spellStart"/>
      <w:r w:rsidRPr="007F5121">
        <w:rPr>
          <w:rFonts w:eastAsia="Times New Roman" w:cstheme="minorHAnsi"/>
          <w:color w:val="000000"/>
        </w:rPr>
        <w:t>Bawardy</w:t>
      </w:r>
      <w:proofErr w:type="spellEnd"/>
      <w:r w:rsidRPr="007F5121">
        <w:rPr>
          <w:rFonts w:eastAsia="Times New Roman" w:cstheme="minorHAnsi"/>
          <w:color w:val="000000"/>
        </w:rPr>
        <w:t xml:space="preserve"> B, Ramos GP, </w:t>
      </w:r>
      <w:proofErr w:type="spellStart"/>
      <w:r w:rsidRPr="007F5121">
        <w:rPr>
          <w:rFonts w:eastAsia="Times New Roman" w:cstheme="minorHAnsi"/>
          <w:color w:val="000000"/>
        </w:rPr>
        <w:t>Willrich</w:t>
      </w:r>
      <w:proofErr w:type="spellEnd"/>
      <w:r w:rsidRPr="007F5121">
        <w:rPr>
          <w:rFonts w:eastAsia="Times New Roman" w:cstheme="minorHAnsi"/>
          <w:color w:val="000000"/>
        </w:rPr>
        <w:t xml:space="preserve"> MAV, et al: Vedolizumab drug level correlation with clinical remission, biomarker normalization, and mucosal healing in inflammatory bowel disease. </w:t>
      </w:r>
      <w:proofErr w:type="spellStart"/>
      <w:r w:rsidRPr="007F5121">
        <w:rPr>
          <w:rFonts w:eastAsia="Times New Roman" w:cstheme="minorHAnsi"/>
          <w:color w:val="000000"/>
        </w:rPr>
        <w:t>Inflamm</w:t>
      </w:r>
      <w:proofErr w:type="spellEnd"/>
      <w:r w:rsidRPr="007F5121">
        <w:rPr>
          <w:rFonts w:eastAsia="Times New Roman" w:cstheme="minorHAnsi"/>
          <w:color w:val="000000"/>
        </w:rPr>
        <w:t xml:space="preserve"> Bowel Dis. 2019 Feb 21;25(3):580-586</w:t>
      </w:r>
    </w:p>
    <w:sectPr w:rsidR="00847392" w:rsidRPr="007F512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11E9" w14:textId="77777777" w:rsidR="00B87B37" w:rsidRDefault="00B87B37" w:rsidP="00847392">
      <w:pPr>
        <w:spacing w:after="0" w:line="240" w:lineRule="auto"/>
      </w:pPr>
      <w:r>
        <w:separator/>
      </w:r>
    </w:p>
  </w:endnote>
  <w:endnote w:type="continuationSeparator" w:id="0">
    <w:p w14:paraId="60102C9F" w14:textId="77777777" w:rsidR="00B87B37" w:rsidRDefault="00B87B37" w:rsidP="0084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E25BC" w14:textId="48EBC48D" w:rsidR="00847392" w:rsidRPr="00BA6BBE" w:rsidRDefault="00847392" w:rsidP="00847392">
    <w:pPr>
      <w:rPr>
        <w:i/>
        <w:iCs/>
        <w:sz w:val="14"/>
        <w:szCs w:val="14"/>
      </w:rPr>
    </w:pPr>
  </w:p>
  <w:p w14:paraId="0EEA6648" w14:textId="77777777" w:rsidR="00847392" w:rsidRPr="00BA6BBE" w:rsidRDefault="00847392" w:rsidP="00847392">
    <w:pPr>
      <w:rPr>
        <w:i/>
        <w:iCs/>
        <w:sz w:val="14"/>
        <w:szCs w:val="14"/>
      </w:rPr>
    </w:pPr>
    <w:r w:rsidRPr="00BA6BBE">
      <w:rPr>
        <w:i/>
        <w:iCs/>
        <w:sz w:val="14"/>
        <w:szCs w:val="14"/>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5162887C" w14:textId="77777777" w:rsidR="00847392" w:rsidRPr="00BA6BBE" w:rsidRDefault="00847392" w:rsidP="00847392">
    <w:pPr>
      <w:pStyle w:val="Footer"/>
      <w:rPr>
        <w:rFonts w:ascii="Calibri Light" w:hAnsi="Calibri Light" w:cs="Calibri Light"/>
        <w:sz w:val="14"/>
        <w:szCs w:val="14"/>
      </w:rPr>
    </w:pPr>
  </w:p>
  <w:p w14:paraId="4C1ADCF4" w14:textId="77777777" w:rsidR="00847392" w:rsidRPr="00BA6BBE" w:rsidRDefault="00847392" w:rsidP="00847392">
    <w:pPr>
      <w:pStyle w:val="Footer"/>
      <w:rPr>
        <w:rFonts w:ascii="Calibri Light" w:hAnsi="Calibri Light" w:cs="Calibri Light"/>
        <w:sz w:val="14"/>
        <w:szCs w:val="14"/>
      </w:rPr>
    </w:pPr>
    <w:r w:rsidRPr="00BA6BBE">
      <w:rPr>
        <w:rFonts w:ascii="Calibri Light" w:hAnsi="Calibri Light" w:cs="Calibri Light"/>
        <w:sz w:val="14"/>
        <w:szCs w:val="14"/>
      </w:rPr>
      <w:t>This letter was reviewed and approved by the Crohn’s &amp; Colitis Foundation’s National Scientific Advisory Council.</w:t>
    </w:r>
  </w:p>
  <w:p w14:paraId="1AF7AE96" w14:textId="0984DBAA" w:rsidR="00847392" w:rsidRDefault="00847392">
    <w:pPr>
      <w:pStyle w:val="Footer"/>
    </w:pPr>
  </w:p>
  <w:p w14:paraId="5EAD4759" w14:textId="77777777" w:rsidR="00847392" w:rsidRDefault="00847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4C66" w14:textId="77777777" w:rsidR="00B87B37" w:rsidRDefault="00B87B37" w:rsidP="00847392">
      <w:pPr>
        <w:spacing w:after="0" w:line="240" w:lineRule="auto"/>
      </w:pPr>
      <w:r>
        <w:separator/>
      </w:r>
    </w:p>
  </w:footnote>
  <w:footnote w:type="continuationSeparator" w:id="0">
    <w:p w14:paraId="2C10B0A0" w14:textId="77777777" w:rsidR="00B87B37" w:rsidRDefault="00B87B37" w:rsidP="00847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DA96" w14:textId="06C33429" w:rsidR="00847392" w:rsidRDefault="00847392" w:rsidP="00847392">
    <w:pPr>
      <w:pStyle w:val="Header"/>
      <w:jc w:val="center"/>
    </w:pPr>
    <w:r>
      <w:t>SAMPLE APPEAL LETTER – VEDOLIZUMAB</w:t>
    </w:r>
    <w:r w:rsidR="00E47E45">
      <w:t xml:space="preserve"> DRUG LEVEL</w:t>
    </w:r>
    <w:r>
      <w:t xml:space="preserve"> TESTING</w:t>
    </w:r>
  </w:p>
  <w:p w14:paraId="68FC2260" w14:textId="77777777" w:rsidR="00847392" w:rsidRDefault="00847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795"/>
    <w:multiLevelType w:val="hybridMultilevel"/>
    <w:tmpl w:val="386C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82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92"/>
    <w:rsid w:val="00094D78"/>
    <w:rsid w:val="00202FCE"/>
    <w:rsid w:val="0021420D"/>
    <w:rsid w:val="0039272E"/>
    <w:rsid w:val="004727B7"/>
    <w:rsid w:val="007F5121"/>
    <w:rsid w:val="00840D08"/>
    <w:rsid w:val="00847392"/>
    <w:rsid w:val="008E634F"/>
    <w:rsid w:val="00B87B37"/>
    <w:rsid w:val="00BD04B3"/>
    <w:rsid w:val="00E47E45"/>
    <w:rsid w:val="00F31F31"/>
    <w:rsid w:val="00F36A6A"/>
    <w:rsid w:val="0DBAADDF"/>
    <w:rsid w:val="1B756BD8"/>
    <w:rsid w:val="4EC37469"/>
    <w:rsid w:val="6C03D0C0"/>
    <w:rsid w:val="7D6FD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2099"/>
  <w15:chartTrackingRefBased/>
  <w15:docId w15:val="{DF6C0F78-AA9E-486E-AD4F-A82B7A17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3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47392"/>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847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92"/>
  </w:style>
  <w:style w:type="paragraph" w:styleId="Footer">
    <w:name w:val="footer"/>
    <w:basedOn w:val="Normal"/>
    <w:link w:val="FooterChar"/>
    <w:uiPriority w:val="99"/>
    <w:unhideWhenUsed/>
    <w:rsid w:val="00847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92"/>
  </w:style>
  <w:style w:type="paragraph" w:styleId="ListParagraph">
    <w:name w:val="List Paragraph"/>
    <w:basedOn w:val="Normal"/>
    <w:uiPriority w:val="34"/>
    <w:qFormat/>
    <w:rsid w:val="00840D08"/>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9" ma:contentTypeDescription="Create a new document." ma:contentTypeScope="" ma:versionID="22403c7d7ead923cc7db1559a268f286">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a981acd05565fd77bcb2fe8cb92a8d49"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99654-981C-49C4-8614-6CFA49CE35ED}">
  <ds:schemaRefs>
    <ds:schemaRef ds:uri="http://purl.org/dc/dcmitype/"/>
    <ds:schemaRef ds:uri="http://schemas.microsoft.com/sharepoint/v3"/>
    <ds:schemaRef ds:uri="http://www.w3.org/XML/1998/namespace"/>
    <ds:schemaRef ds:uri="http://purl.org/dc/terms/"/>
    <ds:schemaRef ds:uri="http://schemas.microsoft.com/office/2006/documentManagement/types"/>
    <ds:schemaRef ds:uri="e3daf48a-308e-43de-88ef-ca4f40f3f003"/>
    <ds:schemaRef ds:uri="http://purl.org/dc/elements/1.1/"/>
    <ds:schemaRef ds:uri="http://schemas.openxmlformats.org/package/2006/metadata/core-properties"/>
    <ds:schemaRef ds:uri="http://schemas.microsoft.com/office/infopath/2007/PartnerControls"/>
    <ds:schemaRef ds:uri="c57fea2e-d146-428a-a2a2-061547110c3f"/>
    <ds:schemaRef ds:uri="http://schemas.microsoft.com/office/2006/metadata/properties"/>
  </ds:schemaRefs>
</ds:datastoreItem>
</file>

<file path=customXml/itemProps2.xml><?xml version="1.0" encoding="utf-8"?>
<ds:datastoreItem xmlns:ds="http://schemas.openxmlformats.org/officeDocument/2006/customXml" ds:itemID="{DEC7827F-8E73-453B-A147-25F1176BF735}">
  <ds:schemaRefs>
    <ds:schemaRef ds:uri="http://schemas.microsoft.com/sharepoint/v3/contenttype/forms"/>
  </ds:schemaRefs>
</ds:datastoreItem>
</file>

<file path=customXml/itemProps3.xml><?xml version="1.0" encoding="utf-8"?>
<ds:datastoreItem xmlns:ds="http://schemas.openxmlformats.org/officeDocument/2006/customXml" ds:itemID="{33007B6D-40A5-4828-ADC7-F694447E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Strauss</dc:creator>
  <cp:keywords/>
  <dc:description/>
  <cp:lastModifiedBy>Alyssa Strauss</cp:lastModifiedBy>
  <cp:revision>11</cp:revision>
  <cp:lastPrinted>2023-07-31T18:02:00Z</cp:lastPrinted>
  <dcterms:created xsi:type="dcterms:W3CDTF">2023-06-14T20:47:00Z</dcterms:created>
  <dcterms:modified xsi:type="dcterms:W3CDTF">2023-07-31T18:11:00Z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y fmtid="{D5CDD505-2E9C-101B-9397-08002B2CF9AE}" pid="3" name="MediaServiceImageTags">
    <vt:lpwstr/>
  </property>
</Properties>
</file>