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B5593" w14:textId="35927B43" w:rsidR="00413C48" w:rsidRDefault="00413C48" w:rsidP="00413C48">
      <w:pPr>
        <w:pStyle w:val="FirstParagraph"/>
        <w:jc w:val="center"/>
        <w:rPr>
          <w:b/>
          <w:bCs/>
        </w:rPr>
      </w:pPr>
      <w:r>
        <w:rPr>
          <w:b/>
          <w:bCs/>
        </w:rPr>
        <w:t xml:space="preserve">SAMPLE APPEAL LETTER - </w:t>
      </w:r>
      <w:r w:rsidR="00DE417A">
        <w:rPr>
          <w:b/>
          <w:bCs/>
        </w:rPr>
        <w:t xml:space="preserve"> Dose Escalation of (infliximab-dyyb)</w:t>
      </w:r>
      <w:r>
        <w:rPr>
          <w:b/>
          <w:bCs/>
        </w:rPr>
        <w:t xml:space="preserve"> </w:t>
      </w:r>
      <w:r w:rsidR="003F397B">
        <w:rPr>
          <w:b/>
          <w:bCs/>
        </w:rPr>
        <w:t>Subcuteanous Injection</w:t>
      </w:r>
      <w:r w:rsidR="00DE417A">
        <w:br/>
      </w:r>
    </w:p>
    <w:p w14:paraId="049957B9" w14:textId="4BEA52A8" w:rsidR="00413C48" w:rsidRPr="00F82D79" w:rsidRDefault="00413C48">
      <w:pPr>
        <w:pStyle w:val="FirstParagraph"/>
        <w:rPr>
          <w:b/>
          <w:bCs/>
          <w:color w:val="FF0000"/>
        </w:rPr>
      </w:pPr>
      <w:r w:rsidRPr="00F82D79">
        <w:rPr>
          <w:b/>
          <w:bCs/>
          <w:color w:val="FF0000"/>
        </w:rPr>
        <w:t>Insurance Company</w:t>
      </w:r>
    </w:p>
    <w:p w14:paraId="66C51A14" w14:textId="113E47C7" w:rsidR="002529C4" w:rsidRDefault="00413C48">
      <w:pPr>
        <w:pStyle w:val="FirstParagraph"/>
      </w:pPr>
      <w:r>
        <w:rPr>
          <w:b/>
          <w:bCs/>
        </w:rPr>
        <w:t xml:space="preserve">RE: </w:t>
      </w:r>
      <w:r w:rsidR="00DE417A">
        <w:rPr>
          <w:b/>
          <w:bCs/>
        </w:rPr>
        <w:t>Patient:</w:t>
      </w:r>
      <w:r w:rsidR="00DE417A">
        <w:t xml:space="preserve"> </w:t>
      </w:r>
      <w:r w:rsidR="00DE417A" w:rsidRPr="00F82D79">
        <w:rPr>
          <w:color w:val="FF0000"/>
        </w:rPr>
        <w:t>[Patient Name]</w:t>
      </w:r>
      <w:r w:rsidR="00DE417A">
        <w:br/>
      </w:r>
      <w:r w:rsidR="00DE417A">
        <w:rPr>
          <w:b/>
          <w:bCs/>
        </w:rPr>
        <w:t>DOB:</w:t>
      </w:r>
      <w:r w:rsidR="00DE417A" w:rsidRPr="00F82D79">
        <w:rPr>
          <w:color w:val="FF0000"/>
        </w:rPr>
        <w:t xml:space="preserve"> [DOB]</w:t>
      </w:r>
      <w:r w:rsidR="00DE417A">
        <w:br/>
      </w:r>
      <w:r w:rsidR="00DE417A">
        <w:rPr>
          <w:b/>
          <w:bCs/>
        </w:rPr>
        <w:t>Insurance ID:</w:t>
      </w:r>
      <w:r w:rsidR="00DE417A">
        <w:t xml:space="preserve"> </w:t>
      </w:r>
      <w:r w:rsidR="00DE417A" w:rsidRPr="00F82D79">
        <w:rPr>
          <w:color w:val="FF0000"/>
        </w:rPr>
        <w:t>[ID]</w:t>
      </w:r>
      <w:r w:rsidR="00DE417A">
        <w:br/>
      </w:r>
      <w:r w:rsidR="00DE417A">
        <w:rPr>
          <w:b/>
          <w:bCs/>
        </w:rPr>
        <w:t>Diagnosis:</w:t>
      </w:r>
      <w:r w:rsidR="00DE417A">
        <w:t xml:space="preserve"> </w:t>
      </w:r>
      <w:r w:rsidR="00DE417A" w:rsidRPr="00F82D79">
        <w:rPr>
          <w:color w:val="FF0000"/>
        </w:rPr>
        <w:t>[Crohn’s disease/Ulcerative colitis; ICD-10]</w:t>
      </w:r>
      <w:r w:rsidR="00DE417A">
        <w:br/>
      </w:r>
      <w:r w:rsidR="00DE417A">
        <w:rPr>
          <w:b/>
          <w:bCs/>
        </w:rPr>
        <w:t>Requested dose:</w:t>
      </w:r>
      <w:r w:rsidR="00DE417A">
        <w:t xml:space="preserve"> </w:t>
      </w:r>
      <w:r w:rsidR="001F1BA3">
        <w:t>infliximab-dyyb</w:t>
      </w:r>
      <w:r w:rsidR="00DE417A">
        <w:t xml:space="preserve"> 240 mg subcutaneously every 2 weeks [two 120-mg injections every 2 weeks]</w:t>
      </w:r>
    </w:p>
    <w:p w14:paraId="328669C0" w14:textId="77777777" w:rsidR="002529C4" w:rsidRDefault="00DE417A">
      <w:pPr>
        <w:pStyle w:val="BodyText"/>
      </w:pPr>
      <w:r>
        <w:t>To Whom It May Concern:</w:t>
      </w:r>
    </w:p>
    <w:p w14:paraId="6993C795" w14:textId="08785FB9" w:rsidR="002529C4" w:rsidRDefault="00DE417A">
      <w:pPr>
        <w:pStyle w:val="BodyText"/>
      </w:pPr>
      <w:r>
        <w:t xml:space="preserve">I am writing to appeal the denial of dose escalation of (infliximab-dyyb) from 120 mg every 2 weeks to 240 mg every 2 weeks for my patient with moderately to severely active [Crohn’s disease/ulcerative colitis]. This patient has benefited from infliximab therapy but has developed evidence of inadequate response/loss of response on standard </w:t>
      </w:r>
      <w:r w:rsidR="0089128A">
        <w:t xml:space="preserve">(infliximab-dyyb) </w:t>
      </w:r>
      <w:r>
        <w:t>dosing. Rather than abandoning an otherwise effective therapeutic mechanism, dose optimization is medically appropriate and supported by clinical trial evidence.</w:t>
      </w:r>
    </w:p>
    <w:p w14:paraId="655CA15A" w14:textId="77777777" w:rsidR="002529C4" w:rsidRDefault="00DE417A">
      <w:pPr>
        <w:pStyle w:val="BodyText"/>
      </w:pPr>
      <w:r>
        <w:rPr>
          <w:b/>
          <w:bCs/>
        </w:rPr>
        <w:t>Medical necessity for dose optimization</w:t>
      </w:r>
    </w:p>
    <w:p w14:paraId="2DA6EE0F" w14:textId="77777777" w:rsidR="002529C4" w:rsidRDefault="00DE417A">
      <w:pPr>
        <w:pStyle w:val="BodyText"/>
      </w:pPr>
      <w:r>
        <w:t>Infliximab has well-established exposure-response relationships in inflammatory bowel disease. In patients with inadequate disease control, insufficient drug exposure is an important and potentially correctable cause of loss of response. Dose optimization of infliximab is a well-established strategy in IBD and is preferable to prematurely discontinuing an effective therapy when the patient has demonstrated prior response.</w:t>
      </w:r>
    </w:p>
    <w:p w14:paraId="780792A8" w14:textId="0D31246F" w:rsidR="002529C4" w:rsidRDefault="00DE417A">
      <w:pPr>
        <w:pStyle w:val="BodyText"/>
      </w:pPr>
      <w:r>
        <w:t xml:space="preserve">This patient has evidence of inadequate disease control despite </w:t>
      </w:r>
      <w:r w:rsidR="0089128A">
        <w:t xml:space="preserve">infliximab-dyyb </w:t>
      </w:r>
      <w:r>
        <w:t xml:space="preserve">120 mg every 2 weeks, as demonstrated </w:t>
      </w:r>
      <w:r w:rsidRPr="00F82D79">
        <w:rPr>
          <w:color w:val="FF0000"/>
        </w:rPr>
        <w:t>by [increased symptoms/elevated CRP/elevated fecal calprotectin/endoscopic inflammation/intestinal ultrasound findings/low infliximab concentration/other objective evidence]</w:t>
      </w:r>
      <w:r>
        <w:t>. The patient previously demonstrated clinical benefit from infliximab, making optimization of the current therapy a clinically appropriate next step.</w:t>
      </w:r>
    </w:p>
    <w:p w14:paraId="559235BC" w14:textId="77777777" w:rsidR="002529C4" w:rsidRDefault="00DE417A">
      <w:pPr>
        <w:pStyle w:val="BodyText"/>
      </w:pPr>
      <w:r>
        <w:rPr>
          <w:b/>
          <w:bCs/>
        </w:rPr>
        <w:t>Dose escalation of subcutaneous infliximab has been specifically studied in Crohn’s disease and ulcerative colitis</w:t>
      </w:r>
    </w:p>
    <w:p w14:paraId="65244D21" w14:textId="77777777" w:rsidR="002529C4" w:rsidRDefault="00DE417A">
      <w:pPr>
        <w:pStyle w:val="BodyText"/>
      </w:pPr>
      <w:r>
        <w:t xml:space="preserve">Importantly, escalation of subcutaneous infliximab is supported by data from the phase 3 LIBERTY-CD and LIBERTY-UC clinical trial programs. In these trials, patients who initially </w:t>
      </w:r>
      <w:r>
        <w:lastRenderedPageBreak/>
        <w:t xml:space="preserve">responded to infliximab induction but subsequently experienced loss of response during maintenance treatment were permitted to undergo dose escalation from subcutaneous infliximab 120 mg every 2 weeks to </w:t>
      </w:r>
      <w:r>
        <w:rPr>
          <w:b/>
          <w:bCs/>
        </w:rPr>
        <w:t>240 mg every 2 weeks</w:t>
      </w:r>
      <w:r>
        <w:t>.</w:t>
      </w:r>
    </w:p>
    <w:p w14:paraId="3CAFD10B" w14:textId="77777777" w:rsidR="002529C4" w:rsidRDefault="00DE417A">
      <w:pPr>
        <w:pStyle w:val="BodyText"/>
      </w:pPr>
      <w:r>
        <w:t xml:space="preserve">A subsequent analysis specifically evaluating patients who underwent this dose escalation demonstrated that </w:t>
      </w:r>
      <w:r>
        <w:rPr>
          <w:b/>
          <w:bCs/>
        </w:rPr>
        <w:t>85.1% of patients with Crohn’s disease and 82.3% of patients with ulcerative colitis recovered response following escalation to 240 mg every 2 weeks</w:t>
      </w:r>
      <w:r>
        <w:t>. Moreover, approximately two-thirds recovered response within 8 weeks of escalation. These findings provide direct clinical evidence that increasing subcutaneous infliximab exposure can recapture response in a substantial majority of patients who lose response to the standard dose.</w:t>
      </w:r>
    </w:p>
    <w:p w14:paraId="3FF3559C" w14:textId="77777777" w:rsidR="002529C4" w:rsidRDefault="00DE417A">
      <w:pPr>
        <w:pStyle w:val="BodyText"/>
      </w:pPr>
      <w:r>
        <w:t xml:space="preserve">Long-term data from the LIBERTY open-label extensions further support this approach. Patients who underwent dose adjustment to 240 mg every 2 weeks were permitted to remain </w:t>
      </w:r>
      <w:proofErr w:type="gramStart"/>
      <w:r>
        <w:t>on</w:t>
      </w:r>
      <w:proofErr w:type="gramEnd"/>
      <w:r>
        <w:t xml:space="preserve"> this intensified regimen through Week 102. Long-term treatment was well tolerated, and importantly, </w:t>
      </w:r>
      <w:r>
        <w:rPr>
          <w:b/>
          <w:bCs/>
        </w:rPr>
        <w:t>no new safety signals were identified with dose escalation</w:t>
      </w:r>
      <w:r>
        <w:t xml:space="preserve"> compared with patients receiving standard-dose subcutaneous infliximab.</w:t>
      </w:r>
    </w:p>
    <w:p w14:paraId="75280781" w14:textId="77777777" w:rsidR="002529C4" w:rsidRDefault="00DE417A">
      <w:pPr>
        <w:pStyle w:val="BodyText"/>
      </w:pPr>
      <w:proofErr w:type="gramStart"/>
      <w:r>
        <w:rPr>
          <w:b/>
          <w:bCs/>
        </w:rPr>
        <w:t>Dose optimization</w:t>
      </w:r>
      <w:proofErr w:type="gramEnd"/>
      <w:r>
        <w:rPr>
          <w:b/>
          <w:bCs/>
        </w:rPr>
        <w:t xml:space="preserve"> is preferable to an unnecessary change in therapy</w:t>
      </w:r>
    </w:p>
    <w:p w14:paraId="1BB4C4CB" w14:textId="77777777" w:rsidR="002529C4" w:rsidRDefault="00DE417A">
      <w:pPr>
        <w:pStyle w:val="BodyText"/>
      </w:pPr>
      <w:r>
        <w:t>Denying dose escalation would potentially force this patient to discontinue infliximab despite having previously demonstrated response to this therapeutic mechanism. Such a strategy may expose the patient to unnecessary risks associated with active inflammatory disease and require transition to another advanced therapy that may be less effective, less well tolerated, or ultimately unsuccessful.</w:t>
      </w:r>
    </w:p>
    <w:p w14:paraId="00EE6D00" w14:textId="45F829A4" w:rsidR="002529C4" w:rsidRDefault="00DE417A">
      <w:pPr>
        <w:pStyle w:val="BodyText"/>
      </w:pPr>
      <w:r>
        <w:t xml:space="preserve">For these reasons, I strongly request that the denial be overturned and that </w:t>
      </w:r>
      <w:r w:rsidR="00F82D79" w:rsidRPr="00F82D79">
        <w:rPr>
          <w:b/>
          <w:bCs/>
        </w:rPr>
        <w:t>infliximab-dyyb</w:t>
      </w:r>
      <w:r w:rsidR="00F82D79">
        <w:rPr>
          <w:b/>
          <w:bCs/>
        </w:rPr>
        <w:t xml:space="preserve"> </w:t>
      </w:r>
      <w:r>
        <w:rPr>
          <w:b/>
          <w:bCs/>
        </w:rPr>
        <w:t>240 mg subcutaneously every 2 weeks</w:t>
      </w:r>
      <w:r>
        <w:t xml:space="preserve"> be authorized. This escalation is medically necessary to treat this patient’s active </w:t>
      </w:r>
      <w:r w:rsidRPr="00F82D79">
        <w:rPr>
          <w:color w:val="FF0000"/>
        </w:rPr>
        <w:t xml:space="preserve">[Crohn’s disease/ulcerative colitis] </w:t>
      </w:r>
      <w:r>
        <w:t>and is supported by published clinical trial evidence.</w:t>
      </w:r>
    </w:p>
    <w:p w14:paraId="55D856E4" w14:textId="77777777" w:rsidR="002529C4" w:rsidRDefault="00DE417A">
      <w:pPr>
        <w:pStyle w:val="BodyText"/>
      </w:pPr>
      <w:r>
        <w:t>Thank you for your reconsideration. I am available for peer-to-peer review and would be happy to provide laboratory results, therapeutic drug monitoring, endoscopic findings, imaging, or other documentation demonstrating the medical necessity of this dose escalation.</w:t>
      </w:r>
    </w:p>
    <w:p w14:paraId="678A4404" w14:textId="77777777" w:rsidR="002529C4" w:rsidRDefault="00DE417A">
      <w:pPr>
        <w:pStyle w:val="BodyText"/>
      </w:pPr>
      <w:r>
        <w:t>Sincerely,</w:t>
      </w:r>
    </w:p>
    <w:p w14:paraId="3E6034EE" w14:textId="77777777" w:rsidR="002529C4" w:rsidRPr="00F82D79" w:rsidRDefault="00DE417A">
      <w:pPr>
        <w:pStyle w:val="BodyText"/>
        <w:rPr>
          <w:color w:val="FF0000"/>
        </w:rPr>
      </w:pPr>
      <w:r w:rsidRPr="00F82D79">
        <w:rPr>
          <w:color w:val="FF0000"/>
        </w:rPr>
        <w:t>[Physician Name, MD]</w:t>
      </w:r>
      <w:r w:rsidRPr="00F82D79">
        <w:rPr>
          <w:color w:val="FF0000"/>
        </w:rPr>
        <w:br/>
        <w:t>[Title/Institution]</w:t>
      </w:r>
      <w:r w:rsidRPr="00F82D79">
        <w:rPr>
          <w:color w:val="FF0000"/>
        </w:rPr>
        <w:br/>
        <w:t>[Contact Information]</w:t>
      </w:r>
    </w:p>
    <w:p w14:paraId="0BDB6262" w14:textId="77777777" w:rsidR="002529C4" w:rsidRDefault="00DE417A">
      <w:pPr>
        <w:pStyle w:val="BodyText"/>
      </w:pPr>
      <w:r>
        <w:rPr>
          <w:b/>
          <w:bCs/>
        </w:rPr>
        <w:lastRenderedPageBreak/>
        <w:t>Supporting References</w:t>
      </w:r>
    </w:p>
    <w:p w14:paraId="7A5A0DDC" w14:textId="77777777" w:rsidR="002529C4" w:rsidRDefault="00DE417A">
      <w:pPr>
        <w:pStyle w:val="Compact"/>
        <w:numPr>
          <w:ilvl w:val="0"/>
          <w:numId w:val="2"/>
        </w:numPr>
      </w:pPr>
      <w:r>
        <w:t>ZYMFENTRA (infliximab-dyyb) Prescribing Information. Celltrion USA, Inc.</w:t>
      </w:r>
    </w:p>
    <w:p w14:paraId="6BD29CF7" w14:textId="77777777" w:rsidR="002529C4" w:rsidRDefault="00DE417A">
      <w:pPr>
        <w:pStyle w:val="Compact"/>
        <w:numPr>
          <w:ilvl w:val="0"/>
          <w:numId w:val="2"/>
        </w:numPr>
      </w:pPr>
      <w:r>
        <w:t xml:space="preserve">Schreiber S, et al. Subcutaneous infliximab (CT-P13 SC) as maintenance therapy for inflammatory bowel disease: two randomized phase 3 trials (LIBERTY). </w:t>
      </w:r>
      <w:r>
        <w:rPr>
          <w:i/>
          <w:iCs/>
        </w:rPr>
        <w:t>Gastroenterology</w:t>
      </w:r>
      <w:r>
        <w:t>. 2024.</w:t>
      </w:r>
    </w:p>
    <w:p w14:paraId="09DCAD17" w14:textId="77777777" w:rsidR="002529C4" w:rsidRDefault="00DE417A">
      <w:pPr>
        <w:pStyle w:val="Compact"/>
        <w:numPr>
          <w:ilvl w:val="0"/>
          <w:numId w:val="2"/>
        </w:numPr>
      </w:pPr>
      <w:r>
        <w:t xml:space="preserve">Colombel JF, et al. Subcutaneous infliximab (CT-P13 SC) as maintenance therapy for Crohn’s disease and ulcerative colitis: 2-year results from open-label extensions of two randomized controlled trials (LIBERTY). </w:t>
      </w:r>
      <w:r>
        <w:rPr>
          <w:i/>
          <w:iCs/>
        </w:rPr>
        <w:t>J Crohns Colitis</w:t>
      </w:r>
      <w:r>
        <w:t>. 2025.</w:t>
      </w:r>
    </w:p>
    <w:p w14:paraId="71E8FA7C" w14:textId="77777777" w:rsidR="002529C4" w:rsidRPr="00FC0E20" w:rsidRDefault="00DE417A">
      <w:pPr>
        <w:pStyle w:val="Compact"/>
        <w:numPr>
          <w:ilvl w:val="0"/>
          <w:numId w:val="2"/>
        </w:numPr>
        <w:rPr>
          <w:rFonts w:asciiTheme="majorHAnsi" w:hAnsiTheme="majorHAnsi"/>
        </w:rPr>
      </w:pPr>
      <w:r w:rsidRPr="00FC0E20">
        <w:rPr>
          <w:rFonts w:asciiTheme="majorHAnsi" w:hAnsiTheme="majorHAnsi"/>
        </w:rPr>
        <w:t>Recovery of response and long-term outcomes following loss of response and dose escalation of subcutaneous infliximab: a post hoc analysis of the LIBERTY-CD and LIBERTY-UC trials. 2026.</w:t>
      </w:r>
    </w:p>
    <w:p w14:paraId="6C1F7EBB" w14:textId="77777777" w:rsidR="00FC0E20" w:rsidRPr="00FC0E20" w:rsidRDefault="00FC0E20" w:rsidP="00FC0E20">
      <w:pPr>
        <w:pStyle w:val="pf0"/>
        <w:numPr>
          <w:ilvl w:val="0"/>
          <w:numId w:val="2"/>
        </w:numPr>
        <w:rPr>
          <w:rFonts w:asciiTheme="majorHAnsi" w:hAnsiTheme="majorHAnsi" w:cs="Arial"/>
        </w:rPr>
      </w:pPr>
      <w:r w:rsidRPr="00FC0E20">
        <w:rPr>
          <w:rStyle w:val="cf01"/>
          <w:rFonts w:asciiTheme="majorHAnsi" w:hAnsiTheme="majorHAnsi"/>
          <w:color w:val="auto"/>
          <w:sz w:val="24"/>
          <w:szCs w:val="24"/>
        </w:rPr>
        <w:t xml:space="preserve">Buisson A, Nachury M, Reymond M, Yzet C, Wils P, Payen L, Laugie M, Manlay L, Mathieu N, Pereira B, Fumery M. Effectiveness of Switching </w:t>
      </w:r>
      <w:proofErr w:type="gramStart"/>
      <w:r w:rsidRPr="00FC0E20">
        <w:rPr>
          <w:rStyle w:val="cf01"/>
          <w:rFonts w:asciiTheme="majorHAnsi" w:hAnsiTheme="majorHAnsi"/>
          <w:color w:val="auto"/>
          <w:sz w:val="24"/>
          <w:szCs w:val="24"/>
        </w:rPr>
        <w:t>From</w:t>
      </w:r>
      <w:proofErr w:type="gramEnd"/>
      <w:r w:rsidRPr="00FC0E20">
        <w:rPr>
          <w:rStyle w:val="cf01"/>
          <w:rFonts w:asciiTheme="majorHAnsi" w:hAnsiTheme="majorHAnsi"/>
          <w:color w:val="auto"/>
          <w:sz w:val="24"/>
          <w:szCs w:val="24"/>
        </w:rPr>
        <w:t xml:space="preserve"> Intravenous to Subcutaneous Infliximab in Patients </w:t>
      </w:r>
      <w:proofErr w:type="gramStart"/>
      <w:r w:rsidRPr="00FC0E20">
        <w:rPr>
          <w:rStyle w:val="cf01"/>
          <w:rFonts w:asciiTheme="majorHAnsi" w:hAnsiTheme="majorHAnsi"/>
          <w:color w:val="auto"/>
          <w:sz w:val="24"/>
          <w:szCs w:val="24"/>
        </w:rPr>
        <w:t>With</w:t>
      </w:r>
      <w:proofErr w:type="gramEnd"/>
      <w:r w:rsidRPr="00FC0E20">
        <w:rPr>
          <w:rStyle w:val="cf01"/>
          <w:rFonts w:asciiTheme="majorHAnsi" w:hAnsiTheme="majorHAnsi"/>
          <w:color w:val="auto"/>
          <w:sz w:val="24"/>
          <w:szCs w:val="24"/>
        </w:rPr>
        <w:t xml:space="preserve"> Inflammatory Bowel Diseases: the REMSWITCH Study. Clin Gastroenterol Hepatol. 2023 Aug;21(9):2338-2346.e3. doi: 10.1016/j.cgh.2022.08.011. Epub 2022 Aug 17. PMID: 35987302.</w:t>
      </w:r>
    </w:p>
    <w:p w14:paraId="0F4DCE50" w14:textId="77777777" w:rsidR="00FC0E20" w:rsidRPr="00FC0E20" w:rsidRDefault="00FC0E20" w:rsidP="00FC0E20">
      <w:pPr>
        <w:pStyle w:val="pf0"/>
        <w:numPr>
          <w:ilvl w:val="0"/>
          <w:numId w:val="2"/>
        </w:numPr>
        <w:rPr>
          <w:rFonts w:asciiTheme="majorHAnsi" w:hAnsiTheme="majorHAnsi" w:cs="Arial"/>
        </w:rPr>
      </w:pPr>
      <w:r w:rsidRPr="00FC0E20">
        <w:rPr>
          <w:rStyle w:val="cf11"/>
          <w:rFonts w:asciiTheme="majorHAnsi" w:hAnsiTheme="majorHAnsi"/>
          <w:sz w:val="24"/>
          <w:szCs w:val="24"/>
        </w:rPr>
        <w:t xml:space="preserve">Buisson A., Nachury M., Bazoge M., Yzet C., Wils P., Dodel M., et al. Long-term effectiveness and acceptability of switching from intravenous to subcutaneous infliximab in patients with inflammatory bowel disease treated with intensified doses: The REMSWITCH-LT study. Aliment Pharmacol Ther. 2024; 59: 526–534. </w:t>
      </w:r>
      <w:hyperlink r:id="rId10" w:history="1">
        <w:r w:rsidRPr="00FC0E20">
          <w:rPr>
            <w:rStyle w:val="cf11"/>
            <w:rFonts w:asciiTheme="majorHAnsi" w:hAnsiTheme="majorHAnsi"/>
            <w:sz w:val="24"/>
            <w:szCs w:val="24"/>
            <w:u w:val="single"/>
          </w:rPr>
          <w:t>https://doi.org/10.1111/apt.17822</w:t>
        </w:r>
      </w:hyperlink>
    </w:p>
    <w:p w14:paraId="166046AA" w14:textId="77777777" w:rsidR="00FC0E20" w:rsidRPr="00FC0E20" w:rsidRDefault="00FC0E20" w:rsidP="00FC0E20">
      <w:pPr>
        <w:pStyle w:val="Compact"/>
        <w:ind w:left="720"/>
        <w:rPr>
          <w:rFonts w:asciiTheme="majorHAnsi" w:hAnsiTheme="majorHAnsi"/>
        </w:rPr>
      </w:pPr>
    </w:p>
    <w:sectPr w:rsidR="00FC0E20" w:rsidRPr="00FC0E20">
      <w:footerReference w:type="default" r:id="rId11"/>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4348" w14:textId="77777777" w:rsidR="00A87DDE" w:rsidRDefault="00A87DDE" w:rsidP="007A2A24">
      <w:pPr>
        <w:spacing w:after="0"/>
      </w:pPr>
      <w:r>
        <w:separator/>
      </w:r>
    </w:p>
  </w:endnote>
  <w:endnote w:type="continuationSeparator" w:id="0">
    <w:p w14:paraId="4FA359AD" w14:textId="77777777" w:rsidR="00A87DDE" w:rsidRDefault="00A87DDE" w:rsidP="007A2A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A366" w14:textId="0FADBC4D" w:rsidR="007A2A24" w:rsidRDefault="007A2A24" w:rsidP="007A2A24">
    <w:pPr>
      <w:rPr>
        <w:i/>
        <w:iCs/>
        <w:sz w:val="16"/>
        <w:szCs w:val="16"/>
      </w:rPr>
    </w:pPr>
    <w:r w:rsidRPr="00592724">
      <w:rPr>
        <w:i/>
        <w:iCs/>
        <w:sz w:val="16"/>
        <w:szCs w:val="16"/>
      </w:rPr>
      <w:t>Disclaimer: The sample appeal letters available to healthcare providers on the Crohn’s &amp; Colitis Foundation’s website may include use of agents for conditions other than their FDA-approved indications. The Crohn’s &amp; Colitis Foundation does not endorse the use of any specific medication or treatment, including any use which is outside the labeled indication. The Crohn’s &amp; Colitis Foundation provides this resource for informational purposes only. The Crohn’s &amp; Colitis Foundation, its agents, officers, employees, and volunteers shall not be liable for any claims, damages, or actions whatsoever which may arise for the use of this information. (Remove disclaimer prior to submission of recipient)</w:t>
    </w:r>
  </w:p>
  <w:p w14:paraId="6084595E" w14:textId="77777777" w:rsidR="007A2A24" w:rsidRPr="00BA375E" w:rsidRDefault="007A2A24" w:rsidP="007A2A24">
    <w:pPr>
      <w:pStyle w:val="Footer"/>
      <w:rPr>
        <w:rFonts w:asciiTheme="majorHAnsi" w:hAnsiTheme="majorHAnsi" w:cstheme="majorHAnsi"/>
        <w:sz w:val="16"/>
        <w:szCs w:val="16"/>
      </w:rPr>
    </w:pPr>
    <w:r w:rsidRPr="00BA375E">
      <w:rPr>
        <w:rFonts w:asciiTheme="majorHAnsi" w:hAnsiTheme="majorHAnsi" w:cstheme="majorHAnsi"/>
        <w:sz w:val="16"/>
        <w:szCs w:val="16"/>
      </w:rPr>
      <w:t>This letter was reviewed and approved by the Crohn’s &amp; Colitis Foundation’s National Scientific Advisory Council.</w:t>
    </w:r>
  </w:p>
  <w:p w14:paraId="2A883C5E" w14:textId="01B4C9C8" w:rsidR="007A2A24" w:rsidRDefault="007A2A24">
    <w:pPr>
      <w:pStyle w:val="Footer"/>
    </w:pPr>
  </w:p>
  <w:p w14:paraId="348A4103" w14:textId="77777777" w:rsidR="007A2A24" w:rsidRDefault="007A2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5535" w14:textId="77777777" w:rsidR="00A87DDE" w:rsidRDefault="00A87DDE" w:rsidP="007A2A24">
      <w:pPr>
        <w:spacing w:after="0"/>
      </w:pPr>
      <w:r>
        <w:separator/>
      </w:r>
    </w:p>
  </w:footnote>
  <w:footnote w:type="continuationSeparator" w:id="0">
    <w:p w14:paraId="1CA46BF9" w14:textId="77777777" w:rsidR="00A87DDE" w:rsidRDefault="00A87DDE" w:rsidP="007A2A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E0AD41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426EE5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59388773">
    <w:abstractNumId w:val="0"/>
  </w:num>
  <w:num w:numId="2" w16cid:durableId="12644115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9C4"/>
    <w:rsid w:val="00002501"/>
    <w:rsid w:val="0006442E"/>
    <w:rsid w:val="00155359"/>
    <w:rsid w:val="001F1BA3"/>
    <w:rsid w:val="002529C4"/>
    <w:rsid w:val="002D4EB6"/>
    <w:rsid w:val="003F397B"/>
    <w:rsid w:val="00413C48"/>
    <w:rsid w:val="00436725"/>
    <w:rsid w:val="0060642A"/>
    <w:rsid w:val="007A2A24"/>
    <w:rsid w:val="00852F8D"/>
    <w:rsid w:val="0089128A"/>
    <w:rsid w:val="00A87DDE"/>
    <w:rsid w:val="00C127A7"/>
    <w:rsid w:val="00D06855"/>
    <w:rsid w:val="00DE417A"/>
    <w:rsid w:val="00F82D79"/>
    <w:rsid w:val="00FC0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7216"/>
  <w15:docId w15:val="{C76803D4-4855-F047-9262-B98E9FE7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rsid w:val="002D4EB6"/>
    <w:rPr>
      <w:sz w:val="16"/>
      <w:szCs w:val="16"/>
    </w:rPr>
  </w:style>
  <w:style w:type="paragraph" w:styleId="CommentText">
    <w:name w:val="annotation text"/>
    <w:basedOn w:val="Normal"/>
    <w:link w:val="CommentTextChar"/>
    <w:rsid w:val="002D4EB6"/>
    <w:rPr>
      <w:sz w:val="20"/>
      <w:szCs w:val="20"/>
    </w:rPr>
  </w:style>
  <w:style w:type="character" w:customStyle="1" w:styleId="CommentTextChar">
    <w:name w:val="Comment Text Char"/>
    <w:basedOn w:val="DefaultParagraphFont"/>
    <w:link w:val="CommentText"/>
    <w:rsid w:val="002D4EB6"/>
    <w:rPr>
      <w:sz w:val="20"/>
      <w:szCs w:val="20"/>
    </w:rPr>
  </w:style>
  <w:style w:type="paragraph" w:styleId="CommentSubject">
    <w:name w:val="annotation subject"/>
    <w:basedOn w:val="CommentText"/>
    <w:next w:val="CommentText"/>
    <w:link w:val="CommentSubjectChar"/>
    <w:rsid w:val="002D4EB6"/>
    <w:rPr>
      <w:b/>
      <w:bCs/>
    </w:rPr>
  </w:style>
  <w:style w:type="character" w:customStyle="1" w:styleId="CommentSubjectChar">
    <w:name w:val="Comment Subject Char"/>
    <w:basedOn w:val="CommentTextChar"/>
    <w:link w:val="CommentSubject"/>
    <w:rsid w:val="002D4EB6"/>
    <w:rPr>
      <w:b/>
      <w:bCs/>
      <w:sz w:val="20"/>
      <w:szCs w:val="20"/>
    </w:rPr>
  </w:style>
  <w:style w:type="character" w:styleId="UnresolvedMention">
    <w:name w:val="Unresolved Mention"/>
    <w:basedOn w:val="DefaultParagraphFont"/>
    <w:uiPriority w:val="99"/>
    <w:semiHidden/>
    <w:unhideWhenUsed/>
    <w:rsid w:val="002D4EB6"/>
    <w:rPr>
      <w:color w:val="605E5C"/>
      <w:shd w:val="clear" w:color="auto" w:fill="E1DFDD"/>
    </w:rPr>
  </w:style>
  <w:style w:type="paragraph" w:customStyle="1" w:styleId="pf0">
    <w:name w:val="pf0"/>
    <w:basedOn w:val="Normal"/>
    <w:rsid w:val="00FC0E20"/>
    <w:pPr>
      <w:spacing w:before="100" w:beforeAutospacing="1" w:after="100" w:afterAutospacing="1"/>
    </w:pPr>
    <w:rPr>
      <w:rFonts w:ascii="Times New Roman" w:eastAsia="Times New Roman" w:hAnsi="Times New Roman" w:cs="Times New Roman"/>
      <w:lang w:eastAsia="en-US"/>
    </w:rPr>
  </w:style>
  <w:style w:type="character" w:customStyle="1" w:styleId="cf01">
    <w:name w:val="cf01"/>
    <w:basedOn w:val="DefaultParagraphFont"/>
    <w:rsid w:val="00FC0E20"/>
    <w:rPr>
      <w:rFonts w:ascii="Segoe UI" w:hAnsi="Segoe UI" w:cs="Segoe UI" w:hint="default"/>
      <w:color w:val="DFDFDF"/>
      <w:sz w:val="18"/>
      <w:szCs w:val="18"/>
    </w:rPr>
  </w:style>
  <w:style w:type="character" w:customStyle="1" w:styleId="cf11">
    <w:name w:val="cf11"/>
    <w:basedOn w:val="DefaultParagraphFont"/>
    <w:rsid w:val="00FC0E20"/>
    <w:rPr>
      <w:rFonts w:ascii="Segoe UI" w:hAnsi="Segoe UI" w:cs="Segoe UI" w:hint="default"/>
      <w:sz w:val="18"/>
      <w:szCs w:val="18"/>
    </w:rPr>
  </w:style>
  <w:style w:type="paragraph" w:styleId="Header">
    <w:name w:val="header"/>
    <w:basedOn w:val="Normal"/>
    <w:link w:val="HeaderChar"/>
    <w:rsid w:val="007A2A24"/>
    <w:pPr>
      <w:tabs>
        <w:tab w:val="center" w:pos="4680"/>
        <w:tab w:val="right" w:pos="9360"/>
      </w:tabs>
      <w:spacing w:after="0"/>
    </w:pPr>
  </w:style>
  <w:style w:type="character" w:customStyle="1" w:styleId="HeaderChar">
    <w:name w:val="Header Char"/>
    <w:basedOn w:val="DefaultParagraphFont"/>
    <w:link w:val="Header"/>
    <w:rsid w:val="007A2A24"/>
  </w:style>
  <w:style w:type="paragraph" w:styleId="Footer">
    <w:name w:val="footer"/>
    <w:basedOn w:val="Normal"/>
    <w:link w:val="FooterChar"/>
    <w:uiPriority w:val="99"/>
    <w:rsid w:val="007A2A24"/>
    <w:pPr>
      <w:tabs>
        <w:tab w:val="center" w:pos="4680"/>
        <w:tab w:val="right" w:pos="9360"/>
      </w:tabs>
      <w:spacing w:after="0"/>
    </w:pPr>
  </w:style>
  <w:style w:type="character" w:customStyle="1" w:styleId="FooterChar">
    <w:name w:val="Footer Char"/>
    <w:basedOn w:val="DefaultParagraphFont"/>
    <w:link w:val="Footer"/>
    <w:uiPriority w:val="99"/>
    <w:rsid w:val="007A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doi.org/10.1111/apt.17822"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nYoutube_x003f_ xmlns="e3daf48a-308e-43de-88ef-ca4f40f3f003">false</OnYoutube_x003f_>
    <Priority xmlns="e3daf48a-308e-43de-88ef-ca4f40f3f003">Normal</Priority>
    <_ip_UnifiedCompliancePolicyUIAction xmlns="http://schemas.microsoft.com/sharepoint/v3" xsi:nil="true"/>
    <Notes xmlns="e3daf48a-308e-43de-88ef-ca4f40f3f003" xsi:nil="true"/>
    <_ip_UnifiedCompliancePolicyProperties xmlns="http://schemas.microsoft.com/sharepoint/v3" xsi:nil="true"/>
    <lcf76f155ced4ddcb4097134ff3c332f xmlns="e3daf48a-308e-43de-88ef-ca4f40f3f003">
      <Terms xmlns="http://schemas.microsoft.com/office/infopath/2007/PartnerControls"/>
    </lcf76f155ced4ddcb4097134ff3c332f>
    <TaxCatchAll xmlns="c57fea2e-d146-428a-a2a2-061547110c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86D744C5CD6E44BFFEF5E812642879" ma:contentTypeVersion="24" ma:contentTypeDescription="Create a new document." ma:contentTypeScope="" ma:versionID="05e9151080d0ad602d765bbaf81f7eda">
  <xsd:schema xmlns:xsd="http://www.w3.org/2001/XMLSchema" xmlns:xs="http://www.w3.org/2001/XMLSchema" xmlns:p="http://schemas.microsoft.com/office/2006/metadata/properties" xmlns:ns1="http://schemas.microsoft.com/sharepoint/v3" xmlns:ns2="e3daf48a-308e-43de-88ef-ca4f40f3f003" xmlns:ns3="c57fea2e-d146-428a-a2a2-061547110c3f" targetNamespace="http://schemas.microsoft.com/office/2006/metadata/properties" ma:root="true" ma:fieldsID="3ce5696bda956e39f7470550b111ac1b" ns1:_="" ns2:_="" ns3:_="">
    <xsd:import namespace="http://schemas.microsoft.com/sharepoint/v3"/>
    <xsd:import namespace="e3daf48a-308e-43de-88ef-ca4f40f3f003"/>
    <xsd:import namespace="c57fea2e-d146-428a-a2a2-061547110c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OnYoutube_x003f_" minOccurs="0"/>
                <xsd:element ref="ns2:Notes" minOccurs="0"/>
                <xsd:element ref="ns2:Prior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af48a-308e-43de-88ef-ca4f40f3f00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cab1177-b993-4c6b-bc99-754d2dd7f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OnYoutube_x003f_" ma:index="28" nillable="true" ma:displayName="On Youtube?" ma:default="0" ma:format="Dropdown" ma:internalName="OnYoutube_x003f_">
      <xsd:simpleType>
        <xsd:restriction base="dms:Boolean"/>
      </xsd:simpleType>
    </xsd:element>
    <xsd:element name="Notes" ma:index="29" nillable="true" ma:displayName="Notes" ma:format="Dropdown" ma:internalName="Notes">
      <xsd:simpleType>
        <xsd:restriction base="dms:Note">
          <xsd:maxLength value="255"/>
        </xsd:restriction>
      </xsd:simpleType>
    </xsd:element>
    <xsd:element name="Priority" ma:index="30" nillable="true" ma:displayName="Priority" ma:default="Normal" ma:format="Dropdown" ma:internalName="Priority">
      <xsd:simpleType>
        <xsd:restriction base="dms:Choice">
          <xsd:enumeration value="High"/>
          <xsd:enumeration value="Normal"/>
          <xsd:enumeration value="Low"/>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7fea2e-d146-428a-a2a2-061547110c3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1570f7ce-8d04-4d4d-aaf2-7e73530b950a}" ma:internalName="TaxCatchAll" ma:showField="CatchAllData" ma:web="c57fea2e-d146-428a-a2a2-061547110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962438-D10F-495D-9AA0-3420C1613ACB}">
  <ds:schemaRefs>
    <ds:schemaRef ds:uri="http://schemas.microsoft.com/office/2006/metadata/properties"/>
    <ds:schemaRef ds:uri="http://schemas.microsoft.com/office/infopath/2007/PartnerControls"/>
    <ds:schemaRef ds:uri="e3daf48a-308e-43de-88ef-ca4f40f3f003"/>
    <ds:schemaRef ds:uri="http://schemas.microsoft.com/sharepoint/v3"/>
    <ds:schemaRef ds:uri="c57fea2e-d146-428a-a2a2-061547110c3f"/>
  </ds:schemaRefs>
</ds:datastoreItem>
</file>

<file path=customXml/itemProps2.xml><?xml version="1.0" encoding="utf-8"?>
<ds:datastoreItem xmlns:ds="http://schemas.openxmlformats.org/officeDocument/2006/customXml" ds:itemID="{B0EE4AA2-FBA6-491D-B07E-F92AC4BF09CF}">
  <ds:schemaRefs>
    <ds:schemaRef ds:uri="http://schemas.microsoft.com/sharepoint/v3/contenttype/forms"/>
  </ds:schemaRefs>
</ds:datastoreItem>
</file>

<file path=customXml/itemProps3.xml><?xml version="1.0" encoding="utf-8"?>
<ds:datastoreItem xmlns:ds="http://schemas.openxmlformats.org/officeDocument/2006/customXml" ds:itemID="{981624F4-EF96-457E-BFCE-CFDB82E3D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daf48a-308e-43de-88ef-ca4f40f3f003"/>
    <ds:schemaRef ds:uri="c57fea2e-d146-428a-a2a2-061547110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775</Words>
  <Characters>5011</Characters>
  <Application>Microsoft Office Word</Application>
  <DocSecurity>0</DocSecurity>
  <Lines>87</Lines>
  <Paragraphs>25</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Rajesh Shah</dc:creator>
  <cp:keywords/>
  <cp:lastModifiedBy>Alyssa Strauss</cp:lastModifiedBy>
  <cp:revision>8</cp:revision>
  <dcterms:created xsi:type="dcterms:W3CDTF">2026-09-29T20:37:00Z</dcterms:created>
  <dcterms:modified xsi:type="dcterms:W3CDTF">2026-10-09T20:09:00Z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0x010100C786D744C5CD6E44BFFEF5E812642879</vt:lpwstr>
  </property>
  <property fmtid="{D5CDD505-2E9C-101B-9397-08002B2CF9AE}" pid="3" name="MediaServiceImageTags">
    <vt:lpwstr/>
  </property>
</Properties>
</file>