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4E9F0" w14:textId="710F187D" w:rsidR="0034724E" w:rsidRDefault="003F3F64" w:rsidP="00D46936">
      <w:pPr>
        <w:pStyle w:val="FirstParagraph"/>
        <w:jc w:val="center"/>
        <w:rPr>
          <w:b/>
          <w:bCs/>
        </w:rPr>
      </w:pPr>
      <w:r>
        <w:rPr>
          <w:b/>
          <w:bCs/>
        </w:rPr>
        <w:t xml:space="preserve">SAMPLE APPEAL LETTER  </w:t>
      </w:r>
      <w:r w:rsidR="0034724E">
        <w:rPr>
          <w:b/>
          <w:bCs/>
        </w:rPr>
        <w:t xml:space="preserve"> - </w:t>
      </w:r>
      <w:r>
        <w:rPr>
          <w:b/>
          <w:bCs/>
        </w:rPr>
        <w:t>Coverage of infliximab-</w:t>
      </w:r>
      <w:proofErr w:type="spellStart"/>
      <w:r>
        <w:rPr>
          <w:b/>
          <w:bCs/>
        </w:rPr>
        <w:t>dyyb</w:t>
      </w:r>
      <w:proofErr w:type="spellEnd"/>
      <w:r>
        <w:rPr>
          <w:b/>
          <w:bCs/>
        </w:rPr>
        <w:t xml:space="preserve"> 120 mg Subcutaneous Every 2 Weeks</w:t>
      </w:r>
    </w:p>
    <w:p w14:paraId="4283E4F5" w14:textId="77777777" w:rsidR="00D46936" w:rsidRPr="00D46936" w:rsidRDefault="00D46936" w:rsidP="0034724E">
      <w:pPr>
        <w:pStyle w:val="FirstParagraph"/>
        <w:rPr>
          <w:b/>
          <w:bCs/>
          <w:color w:val="FF0000"/>
        </w:rPr>
      </w:pPr>
      <w:r w:rsidRPr="00D46936">
        <w:rPr>
          <w:b/>
          <w:bCs/>
          <w:color w:val="FF0000"/>
        </w:rPr>
        <w:t>Insurance Company</w:t>
      </w:r>
    </w:p>
    <w:p w14:paraId="6F8A2604" w14:textId="16B896F5" w:rsidR="003A60C1" w:rsidRDefault="00000000" w:rsidP="0034724E">
      <w:pPr>
        <w:pStyle w:val="FirstParagraph"/>
      </w:pPr>
      <w:r>
        <w:br/>
      </w:r>
      <w:r>
        <w:rPr>
          <w:b/>
          <w:bCs/>
        </w:rPr>
        <w:t>Patient:</w:t>
      </w:r>
      <w:r>
        <w:t xml:space="preserve"> </w:t>
      </w:r>
      <w:r w:rsidRPr="00D46936">
        <w:rPr>
          <w:color w:val="FF0000"/>
        </w:rPr>
        <w:t>[Patient Name]</w:t>
      </w:r>
      <w:r>
        <w:br/>
      </w:r>
      <w:r>
        <w:rPr>
          <w:b/>
          <w:bCs/>
        </w:rPr>
        <w:t>DOB:</w:t>
      </w:r>
      <w:r>
        <w:t xml:space="preserve"> </w:t>
      </w:r>
      <w:r w:rsidRPr="00D46936">
        <w:rPr>
          <w:color w:val="FF0000"/>
        </w:rPr>
        <w:t>[DOB]</w:t>
      </w:r>
      <w:r>
        <w:br/>
      </w:r>
      <w:r>
        <w:rPr>
          <w:b/>
          <w:bCs/>
        </w:rPr>
        <w:t>Insurance ID:</w:t>
      </w:r>
      <w:r>
        <w:t xml:space="preserve"> </w:t>
      </w:r>
      <w:r w:rsidRPr="00D46936">
        <w:rPr>
          <w:color w:val="FF0000"/>
        </w:rPr>
        <w:t>[ID]</w:t>
      </w:r>
      <w:r>
        <w:br/>
      </w:r>
      <w:r>
        <w:rPr>
          <w:b/>
          <w:bCs/>
        </w:rPr>
        <w:t>Diagnosis:</w:t>
      </w:r>
      <w:r>
        <w:t xml:space="preserve"> </w:t>
      </w:r>
      <w:r w:rsidRPr="00D46936">
        <w:rPr>
          <w:color w:val="FF0000"/>
        </w:rPr>
        <w:t>[Crohn’s disease/Ulcerative colitis; ICD-10]</w:t>
      </w:r>
    </w:p>
    <w:p w14:paraId="6F8A2605" w14:textId="77777777" w:rsidR="003A60C1" w:rsidRDefault="00000000">
      <w:pPr>
        <w:pStyle w:val="BodyText"/>
      </w:pPr>
      <w:r>
        <w:t>To Whom It May Concern:</w:t>
      </w:r>
    </w:p>
    <w:p w14:paraId="6F8A2606" w14:textId="38D90D31" w:rsidR="003A60C1" w:rsidRDefault="00000000">
      <w:pPr>
        <w:pStyle w:val="BodyText"/>
      </w:pPr>
      <w:r>
        <w:t xml:space="preserve">I am writing to appeal the denial of coverage for </w:t>
      </w:r>
      <w:r w:rsidR="00F5690A">
        <w:t xml:space="preserve">subcutaneous </w:t>
      </w:r>
      <w:r>
        <w:t>infliximab-</w:t>
      </w:r>
      <w:proofErr w:type="spellStart"/>
      <w:r>
        <w:t>dyyb</w:t>
      </w:r>
      <w:proofErr w:type="spellEnd"/>
      <w:r>
        <w:t xml:space="preserve"> for my patient with moderately to severely active </w:t>
      </w:r>
      <w:r w:rsidRPr="00DA3F29">
        <w:rPr>
          <w:color w:val="FF0000"/>
        </w:rPr>
        <w:t>[Crohn’s disease/ulcerative colitis].</w:t>
      </w:r>
      <w:r>
        <w:t xml:space="preserve"> </w:t>
      </w:r>
      <w:r w:rsidR="00DA3F29">
        <w:t>Infliximab-</w:t>
      </w:r>
      <w:proofErr w:type="spellStart"/>
      <w:r w:rsidR="00DA3F29">
        <w:t>dyyb</w:t>
      </w:r>
      <w:proofErr w:type="spellEnd"/>
      <w:r w:rsidR="00DA3F29">
        <w:t xml:space="preserve"> </w:t>
      </w:r>
      <w:r>
        <w:t>is an FDA-approved subcutaneous formulation of infliximab specifically indicated for maintenance treatment of adults with moderately to severely active Crohn’s disease or ulcerative colitis following intravenous infliximab therapy.</w:t>
      </w:r>
    </w:p>
    <w:p w14:paraId="6F8A2607" w14:textId="531CB2B6" w:rsidR="003A60C1" w:rsidRDefault="00000000">
      <w:pPr>
        <w:pStyle w:val="BodyText"/>
      </w:pPr>
      <w:r>
        <w:t xml:space="preserve">Continuation of infliximab therapy using </w:t>
      </w:r>
      <w:r w:rsidR="00DA3F29">
        <w:t>infliximab-</w:t>
      </w:r>
      <w:proofErr w:type="spellStart"/>
      <w:r w:rsidR="00DA3F29">
        <w:t>dyyb</w:t>
      </w:r>
      <w:proofErr w:type="spellEnd"/>
      <w:r>
        <w:t xml:space="preserve"> is medically appropriate for this patient. Importantly, </w:t>
      </w:r>
      <w:r w:rsidR="00852A52">
        <w:t>infliximab-</w:t>
      </w:r>
      <w:proofErr w:type="spellStart"/>
      <w:r w:rsidR="00852A52">
        <w:t>dyyb</w:t>
      </w:r>
      <w:proofErr w:type="spellEnd"/>
      <w:r>
        <w:t xml:space="preserve"> is not simply a convenience-based alternative to intravenous infliximab. Subcutaneous administration produces a distinct and potentially advantageous pharmacokinetic profile, characterized by substantially higher and more stable trough infliximab concentrations and less peak-to-trough fluctuation than conventional intermittent intravenous dosing.</w:t>
      </w:r>
    </w:p>
    <w:p w14:paraId="6F8A2608" w14:textId="77777777" w:rsidR="003A60C1" w:rsidRDefault="00000000">
      <w:pPr>
        <w:pStyle w:val="BodyText"/>
      </w:pPr>
      <w:r>
        <w:t>This pharmacokinetic difference is clinically relevant in IBD. Loss of infliximab exposure and anti-drug antibody formation are important mechanisms of secondary loss of response to infliximab. With intermittent IV administration, serum infliximab concentrations rise sharply following infusion and subsequently decline before the next dose. In contrast, subcutaneous infliximab produces sustained drug exposure with considerably less fluctuation and avoids the low trough concentrations that may contribute to pharmacokinetic treatment failure.</w:t>
      </w:r>
    </w:p>
    <w:p w14:paraId="6F8A2609" w14:textId="77777777" w:rsidR="003A60C1" w:rsidRPr="00852A52" w:rsidRDefault="00000000">
      <w:pPr>
        <w:pStyle w:val="BodyText"/>
        <w:rPr>
          <w:color w:val="FF0000"/>
        </w:rPr>
      </w:pPr>
      <w:r>
        <w:t xml:space="preserve">For this patient, maintaining effective infliximab exposure is preferable to returning to intermittent IV administration. </w:t>
      </w:r>
      <w:r w:rsidRPr="00852A52">
        <w:rPr>
          <w:color w:val="FF0000"/>
        </w:rPr>
        <w:t>[Insert patient-specific rationale—for example: prior low infliximab trough level, previous need for dose escalation, history of anti-drug antibodies, high inflammatory burden, prior loss of response to another biologic, difficulty maintaining infusion appointments, work/travel limitations, or other relevant factors.]</w:t>
      </w:r>
    </w:p>
    <w:p w14:paraId="6F8A260A" w14:textId="1E9BCB51" w:rsidR="003A60C1" w:rsidRDefault="00852A52">
      <w:pPr>
        <w:pStyle w:val="BodyText"/>
      </w:pPr>
      <w:r>
        <w:t>Infliximab-</w:t>
      </w:r>
      <w:proofErr w:type="spellStart"/>
      <w:r>
        <w:t>dyyb</w:t>
      </w:r>
      <w:proofErr w:type="spellEnd"/>
      <w:r>
        <w:t xml:space="preserve"> also preserves treatment with the same therapeutic molecule rather than requiring an otherwise unnecessary change in mechanism of action. The patient can therefore maintain the benefits of infliximab while receiving a formulation that provides more consistent drug exposure without the logistical burden of recurrent infusion-center visits.</w:t>
      </w:r>
    </w:p>
    <w:p w14:paraId="6F8A260B" w14:textId="64B75BEA" w:rsidR="003A60C1" w:rsidRDefault="00000000">
      <w:pPr>
        <w:pStyle w:val="BodyText"/>
      </w:pPr>
      <w:r>
        <w:lastRenderedPageBreak/>
        <w:t xml:space="preserve">For these reasons, I strongly request that the denial be overturned and that </w:t>
      </w:r>
      <w:r w:rsidR="00852A52">
        <w:t>infliximab-</w:t>
      </w:r>
      <w:proofErr w:type="spellStart"/>
      <w:r w:rsidR="00852A52">
        <w:t>dyyb</w:t>
      </w:r>
      <w:proofErr w:type="spellEnd"/>
      <w:r>
        <w:t xml:space="preserve"> 120 mg subcutaneously every 2 weeks be approved. Requiring this patient to remain on or return to IV infliximab solely because of formulary preference does not account for the meaningful pharmacokinetic differences between the two formulations or the clinical importance of maintaining adequate infliximab exposure.</w:t>
      </w:r>
    </w:p>
    <w:p w14:paraId="6F8A260C" w14:textId="204E0459" w:rsidR="003A60C1" w:rsidRDefault="00000000">
      <w:pPr>
        <w:pStyle w:val="BodyText"/>
      </w:pPr>
      <w:r>
        <w:t xml:space="preserve">Thank you for reconsidering this request. I am available for peer-to-peer review and would be happy to provide additional clinical documentation supporting the medical necessity of </w:t>
      </w:r>
      <w:r w:rsidR="00852A52">
        <w:t>infliximab-</w:t>
      </w:r>
      <w:proofErr w:type="spellStart"/>
      <w:r w:rsidR="00852A52">
        <w:t>dyyb</w:t>
      </w:r>
      <w:proofErr w:type="spellEnd"/>
      <w:r>
        <w:t>.</w:t>
      </w:r>
    </w:p>
    <w:p w14:paraId="6F8A260D" w14:textId="77777777" w:rsidR="003A60C1" w:rsidRDefault="00000000">
      <w:pPr>
        <w:pStyle w:val="BodyText"/>
      </w:pPr>
      <w:r>
        <w:t>Sincerely,</w:t>
      </w:r>
    </w:p>
    <w:p w14:paraId="6F8A260E" w14:textId="77777777" w:rsidR="003A60C1" w:rsidRPr="00852A52" w:rsidRDefault="00000000">
      <w:pPr>
        <w:pStyle w:val="BodyText"/>
        <w:rPr>
          <w:color w:val="FF0000"/>
        </w:rPr>
      </w:pPr>
      <w:r w:rsidRPr="00852A52">
        <w:rPr>
          <w:color w:val="FF0000"/>
        </w:rPr>
        <w:t>[Physician Name, MD]</w:t>
      </w:r>
      <w:r w:rsidRPr="00852A52">
        <w:rPr>
          <w:color w:val="FF0000"/>
        </w:rPr>
        <w:br/>
        <w:t>[Title/Institution]</w:t>
      </w:r>
      <w:r w:rsidRPr="00852A52">
        <w:rPr>
          <w:color w:val="FF0000"/>
        </w:rPr>
        <w:br/>
        <w:t>[Contact Information]</w:t>
      </w:r>
    </w:p>
    <w:p w14:paraId="6F8A260F" w14:textId="77777777" w:rsidR="003A60C1" w:rsidRDefault="00000000">
      <w:pPr>
        <w:pStyle w:val="BodyText"/>
      </w:pPr>
      <w:r>
        <w:rPr>
          <w:b/>
          <w:bCs/>
        </w:rPr>
        <w:t>Supporting references</w:t>
      </w:r>
    </w:p>
    <w:p w14:paraId="6F8A2610" w14:textId="77777777" w:rsidR="003A60C1" w:rsidRDefault="00000000">
      <w:pPr>
        <w:pStyle w:val="Compact"/>
        <w:numPr>
          <w:ilvl w:val="0"/>
          <w:numId w:val="2"/>
        </w:numPr>
      </w:pPr>
      <w:r>
        <w:t>ZYMFENTRA (infliximab-</w:t>
      </w:r>
      <w:proofErr w:type="spellStart"/>
      <w:r>
        <w:t>dyyb</w:t>
      </w:r>
      <w:proofErr w:type="spellEnd"/>
      <w:r>
        <w:t>) Prescribing Information. Celltrion USA, Inc.</w:t>
      </w:r>
    </w:p>
    <w:p w14:paraId="6F8A2611" w14:textId="77777777" w:rsidR="003A60C1" w:rsidRDefault="00000000">
      <w:pPr>
        <w:pStyle w:val="Compact"/>
        <w:numPr>
          <w:ilvl w:val="0"/>
          <w:numId w:val="2"/>
        </w:numPr>
      </w:pPr>
      <w:r>
        <w:t>INFLECTRA (infliximab-</w:t>
      </w:r>
      <w:proofErr w:type="spellStart"/>
      <w:r>
        <w:t>dyyb</w:t>
      </w:r>
      <w:proofErr w:type="spellEnd"/>
      <w:r>
        <w:t>) Prescribing Information.</w:t>
      </w:r>
    </w:p>
    <w:p w14:paraId="6F8A2612" w14:textId="77777777" w:rsidR="003A60C1" w:rsidRDefault="00000000">
      <w:pPr>
        <w:pStyle w:val="Compact"/>
        <w:numPr>
          <w:ilvl w:val="0"/>
          <w:numId w:val="2"/>
        </w:numPr>
      </w:pPr>
      <w:r>
        <w:t xml:space="preserve">Colombel JF, Sandborn WJ, Schreiber S, et al. Subcutaneous infliximab (CT-P13 SC) as maintenance therapy for Crohn’s disease and ulcerative colitis: 2-year results from the LIBERTY trials. </w:t>
      </w:r>
      <w:r>
        <w:rPr>
          <w:i/>
          <w:iCs/>
        </w:rPr>
        <w:t>Journal of Crohn’s and Colitis</w:t>
      </w:r>
      <w:r>
        <w:t>.</w:t>
      </w:r>
    </w:p>
    <w:p w14:paraId="6F8A2613" w14:textId="77777777" w:rsidR="003A60C1" w:rsidRDefault="00000000">
      <w:pPr>
        <w:pStyle w:val="Compact"/>
        <w:numPr>
          <w:ilvl w:val="0"/>
          <w:numId w:val="2"/>
        </w:numPr>
      </w:pPr>
      <w:r>
        <w:t xml:space="preserve">Little RD, Ward MG, Wright E, et al. Therapeutic drug monitoring of subcutaneous infliximab in inflammatory bowel disease: understanding pharmacokinetics and exposure-response relationships in a new era of subcutaneous biologics. </w:t>
      </w:r>
      <w:r>
        <w:rPr>
          <w:i/>
          <w:iCs/>
        </w:rPr>
        <w:t>J Clin Med</w:t>
      </w:r>
      <w:r>
        <w:t xml:space="preserve">. </w:t>
      </w:r>
      <w:proofErr w:type="gramStart"/>
      <w:r>
        <w:t>2022;11:6173</w:t>
      </w:r>
      <w:proofErr w:type="gramEnd"/>
      <w:r>
        <w:t>.</w:t>
      </w:r>
    </w:p>
    <w:sectPr w:rsidR="003A60C1">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3C2BB4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4838F4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80662916">
    <w:abstractNumId w:val="0"/>
  </w:num>
  <w:num w:numId="2" w16cid:durableId="14196715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3A60C1"/>
    <w:rsid w:val="0006442E"/>
    <w:rsid w:val="0034724E"/>
    <w:rsid w:val="003A60C1"/>
    <w:rsid w:val="003F3F64"/>
    <w:rsid w:val="00436725"/>
    <w:rsid w:val="00852A52"/>
    <w:rsid w:val="008E4EC1"/>
    <w:rsid w:val="00987E3A"/>
    <w:rsid w:val="00D46936"/>
    <w:rsid w:val="00DA3F29"/>
    <w:rsid w:val="00F5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2604"/>
  <w15:docId w15:val="{CC61CB70-DD27-4A6B-B423-13811791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86D744C5CD6E44BFFEF5E812642879" ma:contentTypeVersion="24" ma:contentTypeDescription="Create a new document." ma:contentTypeScope="" ma:versionID="05e9151080d0ad602d765bbaf81f7eda">
  <xsd:schema xmlns:xsd="http://www.w3.org/2001/XMLSchema" xmlns:xs="http://www.w3.org/2001/XMLSchema" xmlns:p="http://schemas.microsoft.com/office/2006/metadata/properties" xmlns:ns1="http://schemas.microsoft.com/sharepoint/v3" xmlns:ns2="e3daf48a-308e-43de-88ef-ca4f40f3f003" xmlns:ns3="c57fea2e-d146-428a-a2a2-061547110c3f" targetNamespace="http://schemas.microsoft.com/office/2006/metadata/properties" ma:root="true" ma:fieldsID="3ce5696bda956e39f7470550b111ac1b" ns1:_="" ns2:_="" ns3:_="">
    <xsd:import namespace="http://schemas.microsoft.com/sharepoint/v3"/>
    <xsd:import namespace="e3daf48a-308e-43de-88ef-ca4f40f3f003"/>
    <xsd:import namespace="c57fea2e-d146-428a-a2a2-061547110c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OnYoutube_x003f_" minOccurs="0"/>
                <xsd:element ref="ns2:Notes" minOccurs="0"/>
                <xsd:element ref="ns2:Prior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daf48a-308e-43de-88ef-ca4f40f3f00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cab1177-b993-4c6b-bc99-754d2dd7f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OnYoutube_x003f_" ma:index="28" nillable="true" ma:displayName="On Youtube?" ma:default="0" ma:format="Dropdown" ma:internalName="OnYoutube_x003f_">
      <xsd:simpleType>
        <xsd:restriction base="dms:Boolean"/>
      </xsd:simpleType>
    </xsd:element>
    <xsd:element name="Notes" ma:index="29" nillable="true" ma:displayName="Notes" ma:format="Dropdown" ma:internalName="Notes">
      <xsd:simpleType>
        <xsd:restriction base="dms:Note">
          <xsd:maxLength value="255"/>
        </xsd:restriction>
      </xsd:simpleType>
    </xsd:element>
    <xsd:element name="Priority" ma:index="30" nillable="true" ma:displayName="Priority" ma:default="Normal" ma:format="Dropdown" ma:internalName="Priority">
      <xsd:simpleType>
        <xsd:restriction base="dms:Choice">
          <xsd:enumeration value="High"/>
          <xsd:enumeration value="Normal"/>
          <xsd:enumeration value="Low"/>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7fea2e-d146-428a-a2a2-061547110c3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1570f7ce-8d04-4d4d-aaf2-7e73530b950a}" ma:internalName="TaxCatchAll" ma:showField="CatchAllData" ma:web="c57fea2e-d146-428a-a2a2-061547110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nYoutube_x003f_ xmlns="e3daf48a-308e-43de-88ef-ca4f40f3f003">false</OnYoutube_x003f_>
    <Priority xmlns="e3daf48a-308e-43de-88ef-ca4f40f3f003">Normal</Priority>
    <_ip_UnifiedCompliancePolicyUIAction xmlns="http://schemas.microsoft.com/sharepoint/v3" xsi:nil="true"/>
    <Notes xmlns="e3daf48a-308e-43de-88ef-ca4f40f3f003" xsi:nil="true"/>
    <_ip_UnifiedCompliancePolicyProperties xmlns="http://schemas.microsoft.com/sharepoint/v3" xsi:nil="true"/>
    <lcf76f155ced4ddcb4097134ff3c332f xmlns="e3daf48a-308e-43de-88ef-ca4f40f3f003">
      <Terms xmlns="http://schemas.microsoft.com/office/infopath/2007/PartnerControls"/>
    </lcf76f155ced4ddcb4097134ff3c332f>
    <TaxCatchAll xmlns="c57fea2e-d146-428a-a2a2-061547110c3f" xsi:nil="true"/>
  </documentManagement>
</p:properties>
</file>

<file path=customXml/itemProps1.xml><?xml version="1.0" encoding="utf-8"?>
<ds:datastoreItem xmlns:ds="http://schemas.openxmlformats.org/officeDocument/2006/customXml" ds:itemID="{7C839A63-9261-4158-9DC0-37F3574AAE09}">
  <ds:schemaRefs>
    <ds:schemaRef ds:uri="http://schemas.microsoft.com/sharepoint/v3/contenttype/forms"/>
  </ds:schemaRefs>
</ds:datastoreItem>
</file>

<file path=customXml/itemProps2.xml><?xml version="1.0" encoding="utf-8"?>
<ds:datastoreItem xmlns:ds="http://schemas.openxmlformats.org/officeDocument/2006/customXml" ds:itemID="{44EDC69A-D00F-490F-B66A-A2BB0A811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daf48a-308e-43de-88ef-ca4f40f3f003"/>
    <ds:schemaRef ds:uri="c57fea2e-d146-428a-a2a2-061547110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78D41-398A-4AA5-B59A-54053C2D5222}">
  <ds:schemaRefs>
    <ds:schemaRef ds:uri="http://schemas.microsoft.com/office/2006/metadata/properties"/>
    <ds:schemaRef ds:uri="http://schemas.microsoft.com/office/infopath/2007/PartnerControls"/>
    <ds:schemaRef ds:uri="e3daf48a-308e-43de-88ef-ca4f40f3f003"/>
    <ds:schemaRef ds:uri="http://schemas.microsoft.com/sharepoint/v3"/>
    <ds:schemaRef ds:uri="c57fea2e-d146-428a-a2a2-061547110c3f"/>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482</Words>
  <Characters>3302</Characters>
  <Application>Microsoft Office Word</Application>
  <DocSecurity>0</DocSecurity>
  <Lines>58</Lines>
  <Paragraphs>20</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Alyssa Strauss</cp:lastModifiedBy>
  <cp:revision>9</cp:revision>
  <dcterms:created xsi:type="dcterms:W3CDTF">1970-01-01T00:00:00Z</dcterms:created>
  <dcterms:modified xsi:type="dcterms:W3CDTF">2026-10-09T20:16:00Z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0x010100C786D744C5CD6E44BFFEF5E812642879</vt:lpwstr>
  </property>
  <property fmtid="{D5CDD505-2E9C-101B-9397-08002B2CF9AE}" pid="3" name="MediaServiceImageTags">
    <vt:lpwstr/>
  </property>
</Properties>
</file>